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E3973" w14:textId="77777777" w:rsidR="0027285B" w:rsidRDefault="0027285B" w:rsidP="0027285B">
      <w:pPr>
        <w:pStyle w:val="Title"/>
        <w:numPr>
          <w:ilvl w:val="0"/>
          <w:numId w:val="0"/>
        </w:numPr>
      </w:pPr>
      <w:bookmarkStart w:id="0" w:name="_Toc425165710"/>
      <w:bookmarkStart w:id="1" w:name="_Toc425165759"/>
      <w:bookmarkStart w:id="2" w:name="_Toc425166303"/>
    </w:p>
    <w:p w14:paraId="2ADE9100" w14:textId="77777777" w:rsidR="0027285B" w:rsidRDefault="0027285B" w:rsidP="0027285B">
      <w:pPr>
        <w:pStyle w:val="Title"/>
        <w:numPr>
          <w:ilvl w:val="0"/>
          <w:numId w:val="0"/>
        </w:numPr>
      </w:pPr>
    </w:p>
    <w:p w14:paraId="376D6486" w14:textId="77777777" w:rsidR="0027285B" w:rsidRDefault="0027285B" w:rsidP="0027285B">
      <w:pPr>
        <w:pStyle w:val="Title"/>
        <w:numPr>
          <w:ilvl w:val="0"/>
          <w:numId w:val="0"/>
        </w:numPr>
      </w:pPr>
    </w:p>
    <w:p w14:paraId="7AB63301" w14:textId="77777777" w:rsidR="0027285B" w:rsidRDefault="0027285B" w:rsidP="0027285B">
      <w:pPr>
        <w:pStyle w:val="Title"/>
        <w:numPr>
          <w:ilvl w:val="0"/>
          <w:numId w:val="0"/>
        </w:numPr>
      </w:pPr>
    </w:p>
    <w:p w14:paraId="3ACFB4C2" w14:textId="77777777" w:rsidR="008B70FB" w:rsidRPr="00B84CD5" w:rsidRDefault="00D53F7C" w:rsidP="0027285B">
      <w:pPr>
        <w:pStyle w:val="Title"/>
        <w:numPr>
          <w:ilvl w:val="0"/>
          <w:numId w:val="0"/>
        </w:numPr>
      </w:pPr>
      <w:bookmarkStart w:id="3" w:name="_Toc20388165"/>
      <w:r>
        <w:t>I</w:t>
      </w:r>
      <w:r w:rsidR="00851C1B">
        <w:t>C</w:t>
      </w:r>
      <w:r>
        <w:t>T</w:t>
      </w:r>
      <w:r w:rsidR="00C1253E">
        <w:t xml:space="preserve"> </w:t>
      </w:r>
      <w:bookmarkEnd w:id="0"/>
      <w:bookmarkEnd w:id="1"/>
      <w:bookmarkEnd w:id="2"/>
      <w:r w:rsidR="00664078">
        <w:t>Acceptable Use Policy</w:t>
      </w:r>
      <w:bookmarkEnd w:id="3"/>
    </w:p>
    <w:p w14:paraId="4D565902" w14:textId="77777777" w:rsidR="00D636B0" w:rsidRPr="00D636B0" w:rsidRDefault="00D636B0" w:rsidP="00A45B66">
      <w:pPr>
        <w:rPr>
          <w:sz w:val="56"/>
          <w:szCs w:val="56"/>
        </w:rPr>
      </w:pPr>
    </w:p>
    <w:p w14:paraId="04A1761A" w14:textId="77777777" w:rsidR="00D636B0" w:rsidRDefault="00D636B0" w:rsidP="0027285B">
      <w:pPr>
        <w:pStyle w:val="Heading1"/>
        <w:numPr>
          <w:ilvl w:val="0"/>
          <w:numId w:val="0"/>
        </w:numPr>
        <w:rPr>
          <w:sz w:val="24"/>
          <w:szCs w:val="24"/>
        </w:rPr>
      </w:pPr>
    </w:p>
    <w:p w14:paraId="413C64CA" w14:textId="77777777" w:rsidR="0027285B" w:rsidRDefault="0027285B" w:rsidP="0027285B"/>
    <w:p w14:paraId="44F36CB4" w14:textId="77777777" w:rsidR="0027285B" w:rsidRPr="0027285B" w:rsidRDefault="0027285B" w:rsidP="0027285B"/>
    <w:p w14:paraId="499E0EA1" w14:textId="77777777" w:rsidR="00B84CD5" w:rsidRDefault="00B84CD5" w:rsidP="00B84CD5"/>
    <w:p w14:paraId="4FA41D24" w14:textId="77777777" w:rsidR="00B84CD5" w:rsidRPr="00B84CD5" w:rsidRDefault="00B84CD5" w:rsidP="00B84CD5"/>
    <w:p w14:paraId="65FEC212" w14:textId="77777777" w:rsidR="00D636B0" w:rsidRDefault="00D636B0" w:rsidP="00D636B0"/>
    <w:p w14:paraId="79681E21" w14:textId="77777777" w:rsidR="0027285B" w:rsidRDefault="0027285B" w:rsidP="00D636B0"/>
    <w:p w14:paraId="2A58BFEA" w14:textId="77777777" w:rsidR="0027285B" w:rsidRDefault="0027285B" w:rsidP="00D636B0"/>
    <w:p w14:paraId="29C74B73" w14:textId="77777777" w:rsidR="0027285B" w:rsidRDefault="0027285B" w:rsidP="00D636B0"/>
    <w:p w14:paraId="5DA653A4" w14:textId="77777777" w:rsidR="0027285B" w:rsidRDefault="0027285B" w:rsidP="00D636B0"/>
    <w:p w14:paraId="50E3A4C0" w14:textId="77777777" w:rsidR="0027285B" w:rsidRDefault="0027285B" w:rsidP="00D636B0"/>
    <w:p w14:paraId="4834425A" w14:textId="77777777" w:rsidR="00C1253E" w:rsidRDefault="00C1253E" w:rsidP="00D636B0"/>
    <w:p w14:paraId="17E2400E" w14:textId="77777777" w:rsidR="00D636B0" w:rsidRDefault="00D636B0" w:rsidP="00D636B0"/>
    <w:p w14:paraId="5DC005E4" w14:textId="77777777" w:rsidR="00D636B0" w:rsidRDefault="00D636B0" w:rsidP="00D636B0"/>
    <w:p w14:paraId="2AAEED7F" w14:textId="77777777" w:rsidR="00D636B0" w:rsidRDefault="00D636B0" w:rsidP="00D636B0"/>
    <w:p w14:paraId="13D9E9AC" w14:textId="77777777" w:rsidR="00D636B0" w:rsidRDefault="00D636B0" w:rsidP="00D636B0"/>
    <w:p w14:paraId="29E6185E" w14:textId="77777777" w:rsidR="00D636B0" w:rsidRDefault="00D636B0" w:rsidP="00D636B0"/>
    <w:p w14:paraId="7B41A06B" w14:textId="77777777" w:rsidR="00D636B0" w:rsidRDefault="00D636B0" w:rsidP="00D636B0"/>
    <w:p w14:paraId="1FB413A5" w14:textId="77777777" w:rsidR="00D636B0" w:rsidRDefault="00D636B0" w:rsidP="00D636B0"/>
    <w:p w14:paraId="5A6274A3" w14:textId="77777777" w:rsidR="00B84CD5" w:rsidRDefault="00B84CD5" w:rsidP="00D636B0"/>
    <w:p w14:paraId="0E2166F0" w14:textId="77777777" w:rsidR="00B84CD5" w:rsidRDefault="00B84CD5" w:rsidP="00D636B0"/>
    <w:p w14:paraId="3276B0DF" w14:textId="77777777" w:rsidR="00D636B0" w:rsidRDefault="00D636B0" w:rsidP="00D636B0"/>
    <w:p w14:paraId="0E6C30E2" w14:textId="77777777" w:rsidR="00C1253E" w:rsidRDefault="00C1253E" w:rsidP="00D636B0"/>
    <w:p w14:paraId="679C07B8" w14:textId="77777777" w:rsidR="00D636B0" w:rsidRDefault="00D636B0" w:rsidP="00D636B0"/>
    <w:p w14:paraId="67E111D5" w14:textId="77777777" w:rsidR="00D636B0" w:rsidRDefault="00D636B0" w:rsidP="00D636B0">
      <w:r>
        <w:t>Author:</w:t>
      </w:r>
      <w:r w:rsidR="00C1253E">
        <w:t xml:space="preserve"> Mark Barrow</w:t>
      </w:r>
    </w:p>
    <w:p w14:paraId="4075F91D" w14:textId="77777777" w:rsidR="00D636B0" w:rsidRDefault="00D636B0" w:rsidP="00D636B0">
      <w:r>
        <w:t>Version:</w:t>
      </w:r>
      <w:r w:rsidR="000C4446">
        <w:t xml:space="preserve"> </w:t>
      </w:r>
      <w:r w:rsidR="00664078">
        <w:t>2.0</w:t>
      </w:r>
    </w:p>
    <w:p w14:paraId="08E2941F" w14:textId="77777777" w:rsidR="00D636B0" w:rsidRDefault="00D636B0" w:rsidP="00D636B0">
      <w:r>
        <w:t>Date:</w:t>
      </w:r>
      <w:r w:rsidR="00A45B67">
        <w:t xml:space="preserve"> </w:t>
      </w:r>
      <w:r w:rsidR="00ED1170">
        <w:t>25</w:t>
      </w:r>
      <w:r w:rsidR="00664078">
        <w:t xml:space="preserve"> September 2019</w:t>
      </w:r>
    </w:p>
    <w:p w14:paraId="775920C8" w14:textId="77777777" w:rsidR="00D636B0" w:rsidRDefault="00C1253E" w:rsidP="00D636B0">
      <w:r>
        <w:t>+44 (0)20 7133 4511</w:t>
      </w:r>
    </w:p>
    <w:p w14:paraId="314B895A" w14:textId="77777777" w:rsidR="00D636B0" w:rsidRDefault="00C1253E" w:rsidP="00D636B0">
      <w:r>
        <w:t>m.barrow</w:t>
      </w:r>
      <w:r w:rsidR="00D636B0">
        <w:t>@londonmet.ac.uk</w:t>
      </w:r>
    </w:p>
    <w:p w14:paraId="39E0FC5D" w14:textId="77777777" w:rsidR="004C0BF7" w:rsidRPr="0027285B" w:rsidRDefault="00C1253E" w:rsidP="0027285B">
      <w:pPr>
        <w:widowControl/>
        <w:suppressAutoHyphens w:val="0"/>
        <w:rPr>
          <w:b/>
          <w:bCs/>
        </w:rPr>
      </w:pPr>
      <w:r>
        <w:br w:type="page"/>
      </w:r>
      <w:bookmarkStart w:id="4" w:name="_Toc425165711"/>
      <w:bookmarkStart w:id="5" w:name="_Toc425165760"/>
      <w:bookmarkStart w:id="6" w:name="_Toc425166304"/>
      <w:r w:rsidRPr="0027285B">
        <w:rPr>
          <w:b/>
          <w:bCs/>
        </w:rPr>
        <w:lastRenderedPageBreak/>
        <w:t>Document Control</w:t>
      </w:r>
      <w:bookmarkEnd w:id="4"/>
      <w:bookmarkEnd w:id="5"/>
      <w:bookmarkEnd w:id="6"/>
    </w:p>
    <w:p w14:paraId="073E5E3F" w14:textId="77777777" w:rsidR="00C1253E" w:rsidRDefault="00C1253E" w:rsidP="00C1253E"/>
    <w:p w14:paraId="7EB23DEC" w14:textId="77777777" w:rsidR="00C1253E" w:rsidRPr="0027285B" w:rsidRDefault="00C1253E" w:rsidP="0027285B">
      <w:pPr>
        <w:rPr>
          <w:b/>
          <w:bCs/>
        </w:rPr>
      </w:pPr>
      <w:r w:rsidRPr="0027285B">
        <w:rPr>
          <w:b/>
          <w:bCs/>
        </w:rPr>
        <w:t>Changes History</w:t>
      </w:r>
    </w:p>
    <w:tbl>
      <w:tblPr>
        <w:tblW w:w="89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1E0" w:firstRow="1" w:lastRow="1" w:firstColumn="1" w:lastColumn="1" w:noHBand="0" w:noVBand="0"/>
      </w:tblPr>
      <w:tblGrid>
        <w:gridCol w:w="960"/>
        <w:gridCol w:w="1450"/>
        <w:gridCol w:w="1310"/>
        <w:gridCol w:w="2801"/>
        <w:gridCol w:w="2410"/>
      </w:tblGrid>
      <w:tr w:rsidR="00C1253E" w:rsidRPr="00BF5A7F" w14:paraId="568441B0" w14:textId="77777777" w:rsidTr="00C1253E">
        <w:trPr>
          <w:cantSplit/>
          <w:tblHeader/>
        </w:trPr>
        <w:tc>
          <w:tcPr>
            <w:tcW w:w="960" w:type="dxa"/>
            <w:tcBorders>
              <w:top w:val="single" w:sz="4" w:space="0" w:color="969491"/>
              <w:left w:val="single" w:sz="4" w:space="0" w:color="969491"/>
              <w:bottom w:val="single" w:sz="4" w:space="0" w:color="808080"/>
              <w:right w:val="single" w:sz="4" w:space="0" w:color="969491"/>
            </w:tcBorders>
            <w:shd w:val="clear" w:color="auto" w:fill="000000" w:themeFill="text1"/>
          </w:tcPr>
          <w:p w14:paraId="16FE78EE" w14:textId="77777777" w:rsidR="00C1253E" w:rsidRPr="00C1253E" w:rsidRDefault="00C1253E" w:rsidP="00A41A21">
            <w:pPr>
              <w:jc w:val="both"/>
              <w:rPr>
                <w:color w:val="FFFFFF" w:themeColor="background1"/>
                <w:sz w:val="22"/>
                <w:szCs w:val="22"/>
              </w:rPr>
            </w:pPr>
            <w:r w:rsidRPr="00C1253E">
              <w:rPr>
                <w:color w:val="FFFFFF" w:themeColor="background1"/>
                <w:sz w:val="22"/>
                <w:szCs w:val="22"/>
              </w:rPr>
              <w:t>Version</w:t>
            </w:r>
          </w:p>
        </w:tc>
        <w:tc>
          <w:tcPr>
            <w:tcW w:w="1450" w:type="dxa"/>
            <w:tcBorders>
              <w:top w:val="single" w:sz="4" w:space="0" w:color="969491"/>
              <w:left w:val="single" w:sz="4" w:space="0" w:color="969491"/>
              <w:bottom w:val="single" w:sz="4" w:space="0" w:color="808080"/>
              <w:right w:val="single" w:sz="4" w:space="0" w:color="969491"/>
            </w:tcBorders>
            <w:shd w:val="clear" w:color="auto" w:fill="000000" w:themeFill="text1"/>
          </w:tcPr>
          <w:p w14:paraId="3B71EF0B" w14:textId="77777777" w:rsidR="00C1253E" w:rsidRPr="00C1253E" w:rsidRDefault="00C1253E" w:rsidP="00A41A21">
            <w:pPr>
              <w:jc w:val="both"/>
              <w:rPr>
                <w:color w:val="FFFFFF" w:themeColor="background1"/>
                <w:sz w:val="22"/>
                <w:szCs w:val="22"/>
              </w:rPr>
            </w:pPr>
            <w:r w:rsidRPr="00C1253E">
              <w:rPr>
                <w:color w:val="FFFFFF" w:themeColor="background1"/>
                <w:sz w:val="22"/>
                <w:szCs w:val="22"/>
              </w:rPr>
              <w:t>Date</w:t>
            </w:r>
          </w:p>
        </w:tc>
        <w:tc>
          <w:tcPr>
            <w:tcW w:w="1310" w:type="dxa"/>
            <w:tcBorders>
              <w:top w:val="single" w:sz="4" w:space="0" w:color="969491"/>
              <w:left w:val="single" w:sz="4" w:space="0" w:color="969491"/>
              <w:bottom w:val="single" w:sz="4" w:space="0" w:color="808080"/>
              <w:right w:val="single" w:sz="4" w:space="0" w:color="969491"/>
            </w:tcBorders>
            <w:shd w:val="clear" w:color="auto" w:fill="000000" w:themeFill="text1"/>
          </w:tcPr>
          <w:p w14:paraId="1CEC55C3" w14:textId="77777777" w:rsidR="00C1253E" w:rsidRPr="00C1253E" w:rsidRDefault="00C1253E" w:rsidP="00A41A21">
            <w:pPr>
              <w:jc w:val="both"/>
              <w:rPr>
                <w:color w:val="FFFFFF" w:themeColor="background1"/>
                <w:sz w:val="22"/>
                <w:szCs w:val="22"/>
              </w:rPr>
            </w:pPr>
            <w:r w:rsidRPr="00C1253E">
              <w:rPr>
                <w:color w:val="FFFFFF" w:themeColor="background1"/>
                <w:sz w:val="22"/>
                <w:szCs w:val="22"/>
              </w:rPr>
              <w:t>Amended By</w:t>
            </w:r>
          </w:p>
        </w:tc>
        <w:tc>
          <w:tcPr>
            <w:tcW w:w="2801" w:type="dxa"/>
            <w:tcBorders>
              <w:top w:val="single" w:sz="4" w:space="0" w:color="969491"/>
              <w:left w:val="single" w:sz="4" w:space="0" w:color="969491"/>
              <w:bottom w:val="single" w:sz="4" w:space="0" w:color="808080"/>
              <w:right w:val="single" w:sz="4" w:space="0" w:color="969491"/>
            </w:tcBorders>
            <w:shd w:val="clear" w:color="auto" w:fill="000000" w:themeFill="text1"/>
          </w:tcPr>
          <w:p w14:paraId="31A2C85F" w14:textId="77777777" w:rsidR="00C1253E" w:rsidRPr="00C1253E" w:rsidRDefault="00C1253E" w:rsidP="00A41A21">
            <w:pPr>
              <w:jc w:val="both"/>
              <w:rPr>
                <w:color w:val="FFFFFF" w:themeColor="background1"/>
                <w:sz w:val="22"/>
                <w:szCs w:val="22"/>
              </w:rPr>
            </w:pPr>
            <w:r w:rsidRPr="00C1253E">
              <w:rPr>
                <w:color w:val="FFFFFF" w:themeColor="background1"/>
                <w:sz w:val="22"/>
                <w:szCs w:val="22"/>
              </w:rPr>
              <w:t>Recipients</w:t>
            </w:r>
          </w:p>
        </w:tc>
        <w:tc>
          <w:tcPr>
            <w:tcW w:w="2410" w:type="dxa"/>
            <w:tcBorders>
              <w:top w:val="single" w:sz="4" w:space="0" w:color="969491"/>
              <w:left w:val="single" w:sz="4" w:space="0" w:color="969491"/>
              <w:bottom w:val="single" w:sz="4" w:space="0" w:color="808080"/>
              <w:right w:val="single" w:sz="4" w:space="0" w:color="969491"/>
            </w:tcBorders>
            <w:shd w:val="clear" w:color="auto" w:fill="000000" w:themeFill="text1"/>
          </w:tcPr>
          <w:p w14:paraId="4CEDB6A2" w14:textId="77777777" w:rsidR="00C1253E" w:rsidRPr="00C1253E" w:rsidRDefault="00C1253E" w:rsidP="00A41A21">
            <w:pPr>
              <w:jc w:val="both"/>
              <w:rPr>
                <w:color w:val="FFFFFF" w:themeColor="background1"/>
                <w:sz w:val="22"/>
                <w:szCs w:val="22"/>
              </w:rPr>
            </w:pPr>
            <w:r w:rsidRPr="00C1253E">
              <w:rPr>
                <w:color w:val="FFFFFF" w:themeColor="background1"/>
                <w:sz w:val="22"/>
                <w:szCs w:val="22"/>
              </w:rPr>
              <w:t>Purpose</w:t>
            </w:r>
          </w:p>
        </w:tc>
      </w:tr>
      <w:tr w:rsidR="00C1253E" w:rsidRPr="00BF5A7F" w14:paraId="6ADFFDB5" w14:textId="77777777" w:rsidTr="00A41A21">
        <w:trPr>
          <w:cantSplit/>
        </w:trPr>
        <w:tc>
          <w:tcPr>
            <w:tcW w:w="960" w:type="dxa"/>
            <w:tcBorders>
              <w:top w:val="single" w:sz="4" w:space="0" w:color="808080"/>
              <w:bottom w:val="single" w:sz="4" w:space="0" w:color="808080"/>
            </w:tcBorders>
          </w:tcPr>
          <w:p w14:paraId="2AD8D8CD" w14:textId="77777777" w:rsidR="00C1253E" w:rsidRPr="00BF5A7F" w:rsidRDefault="00664078" w:rsidP="00A41A21">
            <w:r>
              <w:t>1</w:t>
            </w:r>
          </w:p>
        </w:tc>
        <w:tc>
          <w:tcPr>
            <w:tcW w:w="1450" w:type="dxa"/>
            <w:tcBorders>
              <w:top w:val="single" w:sz="4" w:space="0" w:color="808080"/>
              <w:bottom w:val="single" w:sz="4" w:space="0" w:color="808080"/>
            </w:tcBorders>
          </w:tcPr>
          <w:p w14:paraId="5C01FE79" w14:textId="77777777" w:rsidR="00C1253E" w:rsidRPr="00BF5A7F" w:rsidRDefault="00664078" w:rsidP="00A41A21">
            <w:r>
              <w:t>13/7/2015</w:t>
            </w:r>
          </w:p>
        </w:tc>
        <w:tc>
          <w:tcPr>
            <w:tcW w:w="1310" w:type="dxa"/>
            <w:tcBorders>
              <w:top w:val="single" w:sz="4" w:space="0" w:color="808080"/>
              <w:bottom w:val="single" w:sz="4" w:space="0" w:color="808080"/>
            </w:tcBorders>
          </w:tcPr>
          <w:p w14:paraId="538C452B" w14:textId="77777777" w:rsidR="00C1253E" w:rsidRPr="00BF5A7F" w:rsidRDefault="00664078" w:rsidP="00A41A21">
            <w:r>
              <w:t xml:space="preserve">A </w:t>
            </w:r>
            <w:proofErr w:type="spellStart"/>
            <w:r>
              <w:t>Liddiard</w:t>
            </w:r>
            <w:proofErr w:type="spellEnd"/>
          </w:p>
        </w:tc>
        <w:tc>
          <w:tcPr>
            <w:tcW w:w="2801" w:type="dxa"/>
            <w:tcBorders>
              <w:top w:val="single" w:sz="4" w:space="0" w:color="808080"/>
              <w:bottom w:val="single" w:sz="4" w:space="0" w:color="808080"/>
            </w:tcBorders>
          </w:tcPr>
          <w:p w14:paraId="47465AF6" w14:textId="77777777" w:rsidR="00C1253E" w:rsidRPr="00BF5A7F" w:rsidRDefault="00C1253E" w:rsidP="00A41A21"/>
        </w:tc>
        <w:tc>
          <w:tcPr>
            <w:tcW w:w="2410" w:type="dxa"/>
            <w:tcBorders>
              <w:top w:val="single" w:sz="4" w:space="0" w:color="808080"/>
              <w:bottom w:val="single" w:sz="4" w:space="0" w:color="808080"/>
            </w:tcBorders>
          </w:tcPr>
          <w:p w14:paraId="711C6F1F" w14:textId="77777777" w:rsidR="00C1253E" w:rsidRPr="00BF5A7F" w:rsidRDefault="00C1253E" w:rsidP="00A41A21"/>
        </w:tc>
      </w:tr>
      <w:tr w:rsidR="00C1253E" w:rsidRPr="00BF5A7F" w14:paraId="7619A0F3" w14:textId="77777777" w:rsidTr="00A41A21">
        <w:trPr>
          <w:cantSplit/>
        </w:trPr>
        <w:tc>
          <w:tcPr>
            <w:tcW w:w="960" w:type="dxa"/>
            <w:tcBorders>
              <w:top w:val="single" w:sz="4" w:space="0" w:color="808080"/>
              <w:bottom w:val="single" w:sz="4" w:space="0" w:color="808080"/>
            </w:tcBorders>
          </w:tcPr>
          <w:p w14:paraId="2E14F5ED" w14:textId="77777777" w:rsidR="00C1253E" w:rsidRPr="00BF5A7F" w:rsidRDefault="00664078" w:rsidP="00A41A21">
            <w:r>
              <w:t>2.0</w:t>
            </w:r>
          </w:p>
        </w:tc>
        <w:tc>
          <w:tcPr>
            <w:tcW w:w="1450" w:type="dxa"/>
            <w:tcBorders>
              <w:top w:val="single" w:sz="4" w:space="0" w:color="808080"/>
              <w:bottom w:val="single" w:sz="4" w:space="0" w:color="808080"/>
            </w:tcBorders>
          </w:tcPr>
          <w:p w14:paraId="752B5199" w14:textId="77777777" w:rsidR="00C1253E" w:rsidRPr="00BF5A7F" w:rsidRDefault="00ED1170" w:rsidP="00A41A21">
            <w:r>
              <w:t>25</w:t>
            </w:r>
            <w:r w:rsidR="00664078">
              <w:t>/9/2019</w:t>
            </w:r>
          </w:p>
        </w:tc>
        <w:tc>
          <w:tcPr>
            <w:tcW w:w="1310" w:type="dxa"/>
            <w:tcBorders>
              <w:top w:val="single" w:sz="4" w:space="0" w:color="808080"/>
              <w:bottom w:val="single" w:sz="4" w:space="0" w:color="808080"/>
            </w:tcBorders>
          </w:tcPr>
          <w:p w14:paraId="19E645E2" w14:textId="77777777" w:rsidR="00C1253E" w:rsidRPr="00BF5A7F" w:rsidRDefault="00664078" w:rsidP="00A41A21">
            <w:r>
              <w:t>M Barrow</w:t>
            </w:r>
          </w:p>
        </w:tc>
        <w:tc>
          <w:tcPr>
            <w:tcW w:w="2801" w:type="dxa"/>
            <w:tcBorders>
              <w:top w:val="single" w:sz="4" w:space="0" w:color="808080"/>
              <w:bottom w:val="single" w:sz="4" w:space="0" w:color="808080"/>
            </w:tcBorders>
          </w:tcPr>
          <w:p w14:paraId="3213A6C6" w14:textId="77777777" w:rsidR="00C1253E" w:rsidRPr="00BF5A7F" w:rsidRDefault="00664078" w:rsidP="00A41A21">
            <w:r>
              <w:t>All</w:t>
            </w:r>
          </w:p>
        </w:tc>
        <w:tc>
          <w:tcPr>
            <w:tcW w:w="2410" w:type="dxa"/>
            <w:tcBorders>
              <w:top w:val="single" w:sz="4" w:space="0" w:color="808080"/>
              <w:bottom w:val="single" w:sz="4" w:space="0" w:color="808080"/>
            </w:tcBorders>
          </w:tcPr>
          <w:p w14:paraId="36F1D232" w14:textId="77777777" w:rsidR="00C1253E" w:rsidRPr="00BF5A7F" w:rsidRDefault="00664078" w:rsidP="00A41A21">
            <w:r>
              <w:t>Review / Update</w:t>
            </w:r>
          </w:p>
        </w:tc>
      </w:tr>
    </w:tbl>
    <w:p w14:paraId="504093D8" w14:textId="77777777" w:rsidR="00C1253E" w:rsidRDefault="00C1253E" w:rsidP="00C1253E">
      <w:pPr>
        <w:rPr>
          <w:b/>
          <w:bCs/>
        </w:rPr>
      </w:pPr>
    </w:p>
    <w:p w14:paraId="5874B230" w14:textId="77777777" w:rsidR="00C1253E" w:rsidRPr="0027285B" w:rsidRDefault="00C1253E" w:rsidP="0027285B">
      <w:pPr>
        <w:rPr>
          <w:b/>
          <w:bCs/>
        </w:rPr>
      </w:pPr>
      <w:r w:rsidRPr="0027285B">
        <w:rPr>
          <w:b/>
          <w:bCs/>
        </w:rPr>
        <w:t>Related Documents</w:t>
      </w:r>
    </w:p>
    <w:tbl>
      <w:tblPr>
        <w:tblW w:w="0" w:type="auto"/>
        <w:tblInd w:w="108" w:type="dxa"/>
        <w:tblLayout w:type="fixed"/>
        <w:tblLook w:val="0000" w:firstRow="0" w:lastRow="0" w:firstColumn="0" w:lastColumn="0" w:noHBand="0" w:noVBand="0"/>
      </w:tblPr>
      <w:tblGrid>
        <w:gridCol w:w="4820"/>
        <w:gridCol w:w="1420"/>
        <w:gridCol w:w="1131"/>
        <w:gridCol w:w="1759"/>
      </w:tblGrid>
      <w:tr w:rsidR="00C1253E" w:rsidRPr="00BF5A7F" w14:paraId="01AD51A5" w14:textId="77777777" w:rsidTr="00C1253E">
        <w:tc>
          <w:tcPr>
            <w:tcW w:w="4820" w:type="dxa"/>
            <w:tcBorders>
              <w:top w:val="single" w:sz="6" w:space="0" w:color="7F7F7F"/>
              <w:left w:val="single" w:sz="6" w:space="0" w:color="7F7F7F"/>
              <w:bottom w:val="single" w:sz="6" w:space="0" w:color="7F7F7F"/>
              <w:right w:val="single" w:sz="6" w:space="0" w:color="7F7F7F"/>
            </w:tcBorders>
            <w:shd w:val="clear" w:color="auto" w:fill="000000" w:themeFill="text1"/>
          </w:tcPr>
          <w:p w14:paraId="0FE4CAC9" w14:textId="77777777" w:rsidR="00C1253E" w:rsidRPr="00C1253E" w:rsidRDefault="00C1253E" w:rsidP="00A41A21">
            <w:pPr>
              <w:rPr>
                <w:color w:val="FFFFFF" w:themeColor="background1"/>
                <w:sz w:val="22"/>
                <w:szCs w:val="22"/>
              </w:rPr>
            </w:pPr>
            <w:r w:rsidRPr="00C1253E">
              <w:rPr>
                <w:color w:val="FFFFFF" w:themeColor="background1"/>
                <w:sz w:val="22"/>
                <w:szCs w:val="22"/>
              </w:rPr>
              <w:t>Document</w:t>
            </w:r>
          </w:p>
        </w:tc>
        <w:tc>
          <w:tcPr>
            <w:tcW w:w="1420" w:type="dxa"/>
            <w:tcBorders>
              <w:top w:val="single" w:sz="6" w:space="0" w:color="7F7F7F"/>
              <w:left w:val="single" w:sz="6" w:space="0" w:color="7F7F7F"/>
              <w:bottom w:val="single" w:sz="6" w:space="0" w:color="7F7F7F"/>
              <w:right w:val="single" w:sz="6" w:space="0" w:color="7F7F7F"/>
            </w:tcBorders>
            <w:shd w:val="clear" w:color="auto" w:fill="000000" w:themeFill="text1"/>
          </w:tcPr>
          <w:p w14:paraId="57443159" w14:textId="77777777" w:rsidR="00C1253E" w:rsidRPr="00C1253E" w:rsidRDefault="00C1253E" w:rsidP="00A41A21">
            <w:pPr>
              <w:rPr>
                <w:color w:val="FFFFFF" w:themeColor="background1"/>
                <w:sz w:val="22"/>
                <w:szCs w:val="22"/>
              </w:rPr>
            </w:pPr>
            <w:r w:rsidRPr="00C1253E">
              <w:rPr>
                <w:color w:val="FFFFFF" w:themeColor="background1"/>
                <w:sz w:val="22"/>
                <w:szCs w:val="22"/>
              </w:rPr>
              <w:t>Author</w:t>
            </w:r>
          </w:p>
        </w:tc>
        <w:tc>
          <w:tcPr>
            <w:tcW w:w="1131" w:type="dxa"/>
            <w:tcBorders>
              <w:top w:val="single" w:sz="6" w:space="0" w:color="7F7F7F"/>
              <w:left w:val="single" w:sz="6" w:space="0" w:color="7F7F7F"/>
              <w:bottom w:val="single" w:sz="6" w:space="0" w:color="7F7F7F"/>
              <w:right w:val="single" w:sz="6" w:space="0" w:color="7F7F7F"/>
            </w:tcBorders>
            <w:shd w:val="clear" w:color="auto" w:fill="000000" w:themeFill="text1"/>
          </w:tcPr>
          <w:p w14:paraId="6E26033D" w14:textId="77777777" w:rsidR="00C1253E" w:rsidRPr="00C1253E" w:rsidRDefault="00C1253E" w:rsidP="00A41A21">
            <w:pPr>
              <w:rPr>
                <w:color w:val="FFFFFF" w:themeColor="background1"/>
                <w:sz w:val="22"/>
                <w:szCs w:val="22"/>
              </w:rPr>
            </w:pPr>
            <w:r w:rsidRPr="00C1253E">
              <w:rPr>
                <w:color w:val="FFFFFF" w:themeColor="background1"/>
                <w:sz w:val="22"/>
                <w:szCs w:val="22"/>
              </w:rPr>
              <w:t>Version</w:t>
            </w:r>
          </w:p>
        </w:tc>
        <w:tc>
          <w:tcPr>
            <w:tcW w:w="1759" w:type="dxa"/>
            <w:tcBorders>
              <w:top w:val="single" w:sz="6" w:space="0" w:color="7F7F7F"/>
              <w:left w:val="single" w:sz="6" w:space="0" w:color="7F7F7F"/>
              <w:bottom w:val="single" w:sz="6" w:space="0" w:color="7F7F7F"/>
              <w:right w:val="single" w:sz="6" w:space="0" w:color="7F7F7F"/>
            </w:tcBorders>
            <w:shd w:val="clear" w:color="auto" w:fill="000000" w:themeFill="text1"/>
          </w:tcPr>
          <w:p w14:paraId="4357282E" w14:textId="77777777" w:rsidR="00C1253E" w:rsidRPr="00C1253E" w:rsidRDefault="00C1253E" w:rsidP="00A41A21">
            <w:pPr>
              <w:rPr>
                <w:color w:val="FFFFFF" w:themeColor="background1"/>
                <w:sz w:val="22"/>
                <w:szCs w:val="22"/>
              </w:rPr>
            </w:pPr>
            <w:r w:rsidRPr="00C1253E">
              <w:rPr>
                <w:color w:val="FFFFFF" w:themeColor="background1"/>
                <w:sz w:val="22"/>
                <w:szCs w:val="22"/>
              </w:rPr>
              <w:t>Date</w:t>
            </w:r>
          </w:p>
        </w:tc>
      </w:tr>
      <w:tr w:rsidR="00C1253E" w:rsidRPr="00BF5A7F" w14:paraId="04FB7C21" w14:textId="77777777" w:rsidTr="00A41A21">
        <w:tc>
          <w:tcPr>
            <w:tcW w:w="4820" w:type="dxa"/>
            <w:tcBorders>
              <w:top w:val="single" w:sz="6" w:space="0" w:color="7F7F7F"/>
              <w:left w:val="single" w:sz="6" w:space="0" w:color="7F7F7F"/>
              <w:bottom w:val="single" w:sz="6" w:space="0" w:color="7F7F7F"/>
              <w:right w:val="single" w:sz="6" w:space="0" w:color="7F7F7F"/>
            </w:tcBorders>
          </w:tcPr>
          <w:p w14:paraId="7121CDC0" w14:textId="77777777" w:rsidR="00C1253E" w:rsidRPr="00BF5A7F" w:rsidRDefault="00C1253E" w:rsidP="00A41A21">
            <w:pPr>
              <w:autoSpaceDE w:val="0"/>
              <w:autoSpaceDN w:val="0"/>
            </w:pPr>
          </w:p>
        </w:tc>
        <w:tc>
          <w:tcPr>
            <w:tcW w:w="1420" w:type="dxa"/>
            <w:tcBorders>
              <w:top w:val="single" w:sz="6" w:space="0" w:color="7F7F7F"/>
              <w:left w:val="single" w:sz="6" w:space="0" w:color="7F7F7F"/>
              <w:bottom w:val="single" w:sz="6" w:space="0" w:color="7F7F7F"/>
              <w:right w:val="single" w:sz="6" w:space="0" w:color="7F7F7F"/>
            </w:tcBorders>
          </w:tcPr>
          <w:p w14:paraId="38DF4267" w14:textId="77777777" w:rsidR="00C1253E" w:rsidRPr="00BF5A7F" w:rsidRDefault="00C1253E" w:rsidP="00A41A21">
            <w:pPr>
              <w:autoSpaceDE w:val="0"/>
              <w:autoSpaceDN w:val="0"/>
            </w:pPr>
          </w:p>
        </w:tc>
        <w:tc>
          <w:tcPr>
            <w:tcW w:w="1131" w:type="dxa"/>
            <w:tcBorders>
              <w:top w:val="single" w:sz="6" w:space="0" w:color="7F7F7F"/>
              <w:left w:val="single" w:sz="6" w:space="0" w:color="7F7F7F"/>
              <w:bottom w:val="single" w:sz="6" w:space="0" w:color="7F7F7F"/>
              <w:right w:val="single" w:sz="6" w:space="0" w:color="7F7F7F"/>
            </w:tcBorders>
          </w:tcPr>
          <w:p w14:paraId="6803395D" w14:textId="77777777" w:rsidR="00C1253E" w:rsidRPr="00BF5A7F" w:rsidRDefault="00C1253E" w:rsidP="00A41A21">
            <w:pPr>
              <w:autoSpaceDE w:val="0"/>
              <w:autoSpaceDN w:val="0"/>
            </w:pPr>
          </w:p>
        </w:tc>
        <w:tc>
          <w:tcPr>
            <w:tcW w:w="1759" w:type="dxa"/>
            <w:tcBorders>
              <w:top w:val="single" w:sz="6" w:space="0" w:color="7F7F7F"/>
              <w:left w:val="single" w:sz="6" w:space="0" w:color="7F7F7F"/>
              <w:bottom w:val="single" w:sz="6" w:space="0" w:color="7F7F7F"/>
              <w:right w:val="single" w:sz="6" w:space="0" w:color="7F7F7F"/>
            </w:tcBorders>
          </w:tcPr>
          <w:p w14:paraId="5EBC9DB8" w14:textId="77777777" w:rsidR="00C1253E" w:rsidRPr="00BF5A7F" w:rsidRDefault="00C1253E" w:rsidP="00A41A21">
            <w:pPr>
              <w:autoSpaceDE w:val="0"/>
              <w:autoSpaceDN w:val="0"/>
            </w:pPr>
          </w:p>
        </w:tc>
      </w:tr>
      <w:tr w:rsidR="00C1253E" w:rsidRPr="00BF5A7F" w14:paraId="62E0E5F8" w14:textId="77777777" w:rsidTr="00A41A21">
        <w:tc>
          <w:tcPr>
            <w:tcW w:w="4820" w:type="dxa"/>
            <w:tcBorders>
              <w:top w:val="single" w:sz="6" w:space="0" w:color="7F7F7F"/>
              <w:left w:val="single" w:sz="6" w:space="0" w:color="7F7F7F"/>
              <w:bottom w:val="single" w:sz="6" w:space="0" w:color="7F7F7F"/>
              <w:right w:val="single" w:sz="6" w:space="0" w:color="7F7F7F"/>
            </w:tcBorders>
          </w:tcPr>
          <w:p w14:paraId="3ED5C120" w14:textId="77777777" w:rsidR="00C1253E" w:rsidRPr="00BF5A7F" w:rsidRDefault="00C1253E" w:rsidP="00A41A21">
            <w:pPr>
              <w:autoSpaceDE w:val="0"/>
              <w:autoSpaceDN w:val="0"/>
            </w:pPr>
          </w:p>
        </w:tc>
        <w:tc>
          <w:tcPr>
            <w:tcW w:w="1420" w:type="dxa"/>
            <w:tcBorders>
              <w:top w:val="single" w:sz="6" w:space="0" w:color="7F7F7F"/>
              <w:left w:val="single" w:sz="6" w:space="0" w:color="7F7F7F"/>
              <w:bottom w:val="single" w:sz="6" w:space="0" w:color="7F7F7F"/>
              <w:right w:val="single" w:sz="6" w:space="0" w:color="7F7F7F"/>
            </w:tcBorders>
          </w:tcPr>
          <w:p w14:paraId="295EB8E0" w14:textId="77777777" w:rsidR="00C1253E" w:rsidRPr="00BF5A7F" w:rsidRDefault="00C1253E" w:rsidP="00A41A21">
            <w:pPr>
              <w:autoSpaceDE w:val="0"/>
              <w:autoSpaceDN w:val="0"/>
            </w:pPr>
          </w:p>
        </w:tc>
        <w:tc>
          <w:tcPr>
            <w:tcW w:w="1131" w:type="dxa"/>
            <w:tcBorders>
              <w:top w:val="single" w:sz="6" w:space="0" w:color="7F7F7F"/>
              <w:left w:val="single" w:sz="6" w:space="0" w:color="7F7F7F"/>
              <w:bottom w:val="single" w:sz="6" w:space="0" w:color="7F7F7F"/>
              <w:right w:val="single" w:sz="6" w:space="0" w:color="7F7F7F"/>
            </w:tcBorders>
          </w:tcPr>
          <w:p w14:paraId="31E73175" w14:textId="77777777" w:rsidR="00C1253E" w:rsidRPr="00BF5A7F" w:rsidRDefault="00C1253E" w:rsidP="00A41A21">
            <w:pPr>
              <w:autoSpaceDE w:val="0"/>
              <w:autoSpaceDN w:val="0"/>
            </w:pPr>
          </w:p>
        </w:tc>
        <w:tc>
          <w:tcPr>
            <w:tcW w:w="1759" w:type="dxa"/>
            <w:tcBorders>
              <w:top w:val="single" w:sz="6" w:space="0" w:color="7F7F7F"/>
              <w:left w:val="single" w:sz="6" w:space="0" w:color="7F7F7F"/>
              <w:bottom w:val="single" w:sz="6" w:space="0" w:color="7F7F7F"/>
              <w:right w:val="single" w:sz="6" w:space="0" w:color="7F7F7F"/>
            </w:tcBorders>
          </w:tcPr>
          <w:p w14:paraId="0D61254E" w14:textId="77777777" w:rsidR="00C1253E" w:rsidRPr="00BF5A7F" w:rsidRDefault="00C1253E" w:rsidP="00A41A21">
            <w:pPr>
              <w:autoSpaceDE w:val="0"/>
              <w:autoSpaceDN w:val="0"/>
            </w:pPr>
          </w:p>
        </w:tc>
      </w:tr>
      <w:tr w:rsidR="00C1253E" w:rsidRPr="00BF5A7F" w14:paraId="3CA67303" w14:textId="77777777" w:rsidTr="00A41A21">
        <w:tc>
          <w:tcPr>
            <w:tcW w:w="4820" w:type="dxa"/>
            <w:tcBorders>
              <w:top w:val="single" w:sz="6" w:space="0" w:color="7F7F7F"/>
              <w:left w:val="single" w:sz="6" w:space="0" w:color="7F7F7F"/>
              <w:bottom w:val="single" w:sz="6" w:space="0" w:color="7F7F7F"/>
              <w:right w:val="single" w:sz="6" w:space="0" w:color="7F7F7F"/>
            </w:tcBorders>
          </w:tcPr>
          <w:p w14:paraId="68E3439E" w14:textId="77777777" w:rsidR="00C1253E" w:rsidRPr="00BF5A7F" w:rsidRDefault="00C1253E" w:rsidP="00A41A21">
            <w:pPr>
              <w:autoSpaceDE w:val="0"/>
              <w:autoSpaceDN w:val="0"/>
            </w:pPr>
          </w:p>
        </w:tc>
        <w:tc>
          <w:tcPr>
            <w:tcW w:w="1420" w:type="dxa"/>
            <w:tcBorders>
              <w:top w:val="single" w:sz="6" w:space="0" w:color="7F7F7F"/>
              <w:left w:val="single" w:sz="6" w:space="0" w:color="7F7F7F"/>
              <w:bottom w:val="single" w:sz="6" w:space="0" w:color="7F7F7F"/>
              <w:right w:val="single" w:sz="6" w:space="0" w:color="7F7F7F"/>
            </w:tcBorders>
          </w:tcPr>
          <w:p w14:paraId="71A5ED25" w14:textId="77777777" w:rsidR="00C1253E" w:rsidRPr="00BF5A7F" w:rsidRDefault="00C1253E" w:rsidP="00A41A21">
            <w:pPr>
              <w:autoSpaceDE w:val="0"/>
              <w:autoSpaceDN w:val="0"/>
            </w:pPr>
          </w:p>
        </w:tc>
        <w:tc>
          <w:tcPr>
            <w:tcW w:w="1131" w:type="dxa"/>
            <w:tcBorders>
              <w:top w:val="single" w:sz="6" w:space="0" w:color="7F7F7F"/>
              <w:left w:val="single" w:sz="6" w:space="0" w:color="7F7F7F"/>
              <w:bottom w:val="single" w:sz="6" w:space="0" w:color="7F7F7F"/>
              <w:right w:val="single" w:sz="6" w:space="0" w:color="7F7F7F"/>
            </w:tcBorders>
          </w:tcPr>
          <w:p w14:paraId="0587A21A" w14:textId="77777777" w:rsidR="00C1253E" w:rsidRPr="00BF5A7F" w:rsidRDefault="00C1253E" w:rsidP="00A41A21">
            <w:pPr>
              <w:autoSpaceDE w:val="0"/>
              <w:autoSpaceDN w:val="0"/>
            </w:pPr>
          </w:p>
        </w:tc>
        <w:tc>
          <w:tcPr>
            <w:tcW w:w="1759" w:type="dxa"/>
            <w:tcBorders>
              <w:top w:val="single" w:sz="6" w:space="0" w:color="7F7F7F"/>
              <w:left w:val="single" w:sz="6" w:space="0" w:color="7F7F7F"/>
              <w:bottom w:val="single" w:sz="6" w:space="0" w:color="7F7F7F"/>
              <w:right w:val="single" w:sz="6" w:space="0" w:color="7F7F7F"/>
            </w:tcBorders>
          </w:tcPr>
          <w:p w14:paraId="3F626416" w14:textId="77777777" w:rsidR="00C1253E" w:rsidRPr="00BF5A7F" w:rsidRDefault="00C1253E" w:rsidP="00A41A21">
            <w:pPr>
              <w:autoSpaceDE w:val="0"/>
              <w:autoSpaceDN w:val="0"/>
            </w:pPr>
          </w:p>
        </w:tc>
      </w:tr>
    </w:tbl>
    <w:p w14:paraId="58971DD1" w14:textId="77777777" w:rsidR="00C1253E" w:rsidRDefault="00C1253E" w:rsidP="00C1253E">
      <w:pPr>
        <w:rPr>
          <w:b/>
          <w:bCs/>
        </w:rPr>
      </w:pPr>
    </w:p>
    <w:p w14:paraId="385FD210" w14:textId="77777777" w:rsidR="00C1253E" w:rsidRDefault="00C1253E" w:rsidP="00C1253E">
      <w:pPr>
        <w:rPr>
          <w:b/>
          <w:bCs/>
        </w:rPr>
      </w:pPr>
      <w:r>
        <w:rPr>
          <w:b/>
          <w:bCs/>
        </w:rPr>
        <w:t>Authorisation</w:t>
      </w:r>
    </w:p>
    <w:tbl>
      <w:tblPr>
        <w:tblW w:w="9120"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1E0" w:firstRow="1" w:lastRow="1" w:firstColumn="1" w:lastColumn="1" w:noHBand="0" w:noVBand="0"/>
      </w:tblPr>
      <w:tblGrid>
        <w:gridCol w:w="3720"/>
        <w:gridCol w:w="3000"/>
        <w:gridCol w:w="2400"/>
      </w:tblGrid>
      <w:tr w:rsidR="00C1253E" w:rsidRPr="00BF5A7F" w14:paraId="225AAFFE" w14:textId="77777777" w:rsidTr="00C1253E">
        <w:trPr>
          <w:cantSplit/>
          <w:tblHeader/>
        </w:trPr>
        <w:tc>
          <w:tcPr>
            <w:tcW w:w="3720" w:type="dxa"/>
            <w:tcBorders>
              <w:top w:val="single" w:sz="6" w:space="0" w:color="7F7F7F"/>
              <w:left w:val="single" w:sz="6" w:space="0" w:color="7F7F7F"/>
              <w:bottom w:val="single" w:sz="6" w:space="0" w:color="7F7F7F"/>
              <w:right w:val="single" w:sz="6" w:space="0" w:color="7F7F7F"/>
            </w:tcBorders>
            <w:shd w:val="clear" w:color="auto" w:fill="000000" w:themeFill="text1"/>
          </w:tcPr>
          <w:p w14:paraId="4F0A824F" w14:textId="77777777" w:rsidR="00C1253E" w:rsidRPr="00C1253E" w:rsidRDefault="00C1253E" w:rsidP="00A41A21">
            <w:pPr>
              <w:rPr>
                <w:color w:val="FFFFFF" w:themeColor="background1"/>
                <w:sz w:val="22"/>
                <w:szCs w:val="22"/>
              </w:rPr>
            </w:pPr>
            <w:r w:rsidRPr="00C1253E">
              <w:rPr>
                <w:color w:val="FFFFFF" w:themeColor="background1"/>
                <w:sz w:val="22"/>
                <w:szCs w:val="22"/>
              </w:rPr>
              <w:t>Role</w:t>
            </w:r>
          </w:p>
        </w:tc>
        <w:tc>
          <w:tcPr>
            <w:tcW w:w="3000" w:type="dxa"/>
            <w:tcBorders>
              <w:top w:val="single" w:sz="6" w:space="0" w:color="7F7F7F"/>
              <w:left w:val="single" w:sz="6" w:space="0" w:color="7F7F7F"/>
              <w:bottom w:val="single" w:sz="6" w:space="0" w:color="7F7F7F"/>
              <w:right w:val="single" w:sz="6" w:space="0" w:color="7F7F7F"/>
            </w:tcBorders>
            <w:shd w:val="clear" w:color="auto" w:fill="000000" w:themeFill="text1"/>
          </w:tcPr>
          <w:p w14:paraId="6135EA03" w14:textId="77777777" w:rsidR="00C1253E" w:rsidRPr="00C1253E" w:rsidRDefault="00C1253E" w:rsidP="00A41A21">
            <w:pPr>
              <w:rPr>
                <w:color w:val="FFFFFF" w:themeColor="background1"/>
                <w:sz w:val="22"/>
                <w:szCs w:val="22"/>
              </w:rPr>
            </w:pPr>
            <w:r w:rsidRPr="00C1253E">
              <w:rPr>
                <w:color w:val="FFFFFF" w:themeColor="background1"/>
                <w:sz w:val="22"/>
                <w:szCs w:val="22"/>
              </w:rPr>
              <w:t>Name</w:t>
            </w:r>
          </w:p>
        </w:tc>
        <w:tc>
          <w:tcPr>
            <w:tcW w:w="2400" w:type="dxa"/>
            <w:tcBorders>
              <w:top w:val="single" w:sz="6" w:space="0" w:color="7F7F7F"/>
              <w:left w:val="single" w:sz="6" w:space="0" w:color="7F7F7F"/>
              <w:bottom w:val="single" w:sz="6" w:space="0" w:color="7F7F7F"/>
              <w:right w:val="single" w:sz="6" w:space="0" w:color="7F7F7F"/>
            </w:tcBorders>
            <w:shd w:val="clear" w:color="auto" w:fill="000000" w:themeFill="text1"/>
          </w:tcPr>
          <w:p w14:paraId="6C5F62B5" w14:textId="77777777" w:rsidR="00C1253E" w:rsidRPr="00C1253E" w:rsidRDefault="00C1253E" w:rsidP="00A41A21">
            <w:pPr>
              <w:rPr>
                <w:color w:val="FFFFFF" w:themeColor="background1"/>
                <w:sz w:val="22"/>
                <w:szCs w:val="22"/>
              </w:rPr>
            </w:pPr>
            <w:r w:rsidRPr="00C1253E">
              <w:rPr>
                <w:color w:val="FFFFFF" w:themeColor="background1"/>
                <w:sz w:val="22"/>
                <w:szCs w:val="22"/>
              </w:rPr>
              <w:t>Date</w:t>
            </w:r>
          </w:p>
        </w:tc>
      </w:tr>
      <w:tr w:rsidR="00C1253E" w:rsidRPr="00BF5A7F" w14:paraId="73606F0B" w14:textId="77777777" w:rsidTr="00A41A21">
        <w:trPr>
          <w:cantSplit/>
        </w:trPr>
        <w:tc>
          <w:tcPr>
            <w:tcW w:w="3720" w:type="dxa"/>
            <w:tcBorders>
              <w:top w:val="single" w:sz="6" w:space="0" w:color="7F7F7F"/>
            </w:tcBorders>
          </w:tcPr>
          <w:p w14:paraId="0C1E6F08" w14:textId="77777777" w:rsidR="00C1253E" w:rsidRPr="00BF5A7F" w:rsidRDefault="00A45B67" w:rsidP="00A41A21">
            <w:pPr>
              <w:autoSpaceDE w:val="0"/>
              <w:autoSpaceDN w:val="0"/>
            </w:pPr>
            <w:r>
              <w:t>Directory of IT</w:t>
            </w:r>
            <w:r w:rsidR="00545713">
              <w:t>S</w:t>
            </w:r>
          </w:p>
        </w:tc>
        <w:tc>
          <w:tcPr>
            <w:tcW w:w="3000" w:type="dxa"/>
            <w:tcBorders>
              <w:top w:val="single" w:sz="6" w:space="0" w:color="7F7F7F"/>
            </w:tcBorders>
          </w:tcPr>
          <w:p w14:paraId="06962B86" w14:textId="77777777" w:rsidR="00C1253E" w:rsidRPr="00BF5A7F" w:rsidRDefault="00A45B67" w:rsidP="00A41A21">
            <w:pPr>
              <w:autoSpaceDE w:val="0"/>
              <w:autoSpaceDN w:val="0"/>
            </w:pPr>
            <w:r>
              <w:t>Oliver Holmes</w:t>
            </w:r>
          </w:p>
        </w:tc>
        <w:tc>
          <w:tcPr>
            <w:tcW w:w="2400" w:type="dxa"/>
            <w:tcBorders>
              <w:top w:val="single" w:sz="6" w:space="0" w:color="7F7F7F"/>
            </w:tcBorders>
          </w:tcPr>
          <w:p w14:paraId="4A106E33" w14:textId="77777777" w:rsidR="00C1253E" w:rsidRPr="00BF5A7F" w:rsidRDefault="00C1253E" w:rsidP="00A41A21"/>
        </w:tc>
      </w:tr>
    </w:tbl>
    <w:p w14:paraId="5590F500" w14:textId="77777777" w:rsidR="00C1253E" w:rsidRPr="00C1253E" w:rsidRDefault="00C1253E" w:rsidP="00C1253E">
      <w:pPr>
        <w:rPr>
          <w:b/>
          <w:bCs/>
        </w:rPr>
      </w:pPr>
    </w:p>
    <w:p w14:paraId="3513F284" w14:textId="77777777" w:rsidR="004C0BF7" w:rsidRDefault="00C1253E" w:rsidP="00A45B66">
      <w:pPr>
        <w:rPr>
          <w:b/>
          <w:bCs/>
        </w:rPr>
      </w:pPr>
      <w:r>
        <w:rPr>
          <w:b/>
          <w:bCs/>
        </w:rPr>
        <w:t>Distribution</w:t>
      </w:r>
    </w:p>
    <w:tbl>
      <w:tblPr>
        <w:tblW w:w="9072"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57" w:type="dxa"/>
          <w:bottom w:w="28" w:type="dxa"/>
          <w:right w:w="57" w:type="dxa"/>
        </w:tblCellMar>
        <w:tblLook w:val="01E0" w:firstRow="1" w:lastRow="1" w:firstColumn="1" w:lastColumn="1" w:noHBand="0" w:noVBand="0"/>
      </w:tblPr>
      <w:tblGrid>
        <w:gridCol w:w="4820"/>
        <w:gridCol w:w="4252"/>
      </w:tblGrid>
      <w:tr w:rsidR="00C1253E" w:rsidRPr="00BF5A7F" w14:paraId="67F079DF" w14:textId="77777777" w:rsidTr="00C1253E">
        <w:trPr>
          <w:cantSplit/>
          <w:tblHeader/>
        </w:trPr>
        <w:tc>
          <w:tcPr>
            <w:tcW w:w="4820" w:type="dxa"/>
            <w:tcBorders>
              <w:top w:val="single" w:sz="6" w:space="0" w:color="7F7F7F"/>
              <w:left w:val="single" w:sz="6" w:space="0" w:color="7F7F7F"/>
              <w:bottom w:val="single" w:sz="6" w:space="0" w:color="7F7F7F"/>
              <w:right w:val="single" w:sz="6" w:space="0" w:color="7F7F7F"/>
            </w:tcBorders>
            <w:shd w:val="clear" w:color="auto" w:fill="000000" w:themeFill="text1"/>
          </w:tcPr>
          <w:p w14:paraId="594B92E9" w14:textId="77777777" w:rsidR="00C1253E" w:rsidRPr="00C1253E" w:rsidRDefault="00C1253E" w:rsidP="00A41A21">
            <w:pPr>
              <w:rPr>
                <w:color w:val="FFFFFF" w:themeColor="background1"/>
                <w:sz w:val="22"/>
                <w:szCs w:val="22"/>
              </w:rPr>
            </w:pPr>
            <w:r w:rsidRPr="00C1253E">
              <w:rPr>
                <w:color w:val="FFFFFF" w:themeColor="background1"/>
                <w:sz w:val="22"/>
                <w:szCs w:val="22"/>
              </w:rPr>
              <w:t>Name</w:t>
            </w:r>
          </w:p>
        </w:tc>
        <w:tc>
          <w:tcPr>
            <w:tcW w:w="4252" w:type="dxa"/>
            <w:tcBorders>
              <w:top w:val="single" w:sz="6" w:space="0" w:color="7F7F7F"/>
              <w:left w:val="single" w:sz="6" w:space="0" w:color="7F7F7F"/>
              <w:bottom w:val="single" w:sz="6" w:space="0" w:color="7F7F7F"/>
              <w:right w:val="single" w:sz="6" w:space="0" w:color="7F7F7F"/>
            </w:tcBorders>
            <w:shd w:val="clear" w:color="auto" w:fill="000000" w:themeFill="text1"/>
          </w:tcPr>
          <w:p w14:paraId="434FD022" w14:textId="77777777" w:rsidR="00C1253E" w:rsidRPr="00C1253E" w:rsidRDefault="00C1253E" w:rsidP="00A41A21">
            <w:pPr>
              <w:rPr>
                <w:color w:val="FFFFFF" w:themeColor="background1"/>
                <w:sz w:val="22"/>
                <w:szCs w:val="22"/>
              </w:rPr>
            </w:pPr>
            <w:r w:rsidRPr="00C1253E">
              <w:rPr>
                <w:color w:val="FFFFFF" w:themeColor="background1"/>
                <w:sz w:val="22"/>
                <w:szCs w:val="22"/>
              </w:rPr>
              <w:t>Organisation</w:t>
            </w:r>
          </w:p>
        </w:tc>
      </w:tr>
      <w:tr w:rsidR="00C1253E" w:rsidRPr="00BF5A7F" w14:paraId="6FE2480C" w14:textId="77777777" w:rsidTr="00A41A21">
        <w:trPr>
          <w:cantSplit/>
        </w:trPr>
        <w:tc>
          <w:tcPr>
            <w:tcW w:w="4820" w:type="dxa"/>
            <w:tcBorders>
              <w:top w:val="single" w:sz="6" w:space="0" w:color="7F7F7F"/>
            </w:tcBorders>
          </w:tcPr>
          <w:p w14:paraId="0F8051D5" w14:textId="77777777" w:rsidR="00C1253E" w:rsidRPr="00BF5A7F" w:rsidRDefault="000C4446" w:rsidP="000C4446">
            <w:r>
              <w:t>Leadership</w:t>
            </w:r>
            <w:r w:rsidR="00C1253E" w:rsidRPr="00BF5A7F">
              <w:t xml:space="preserve"> Team</w:t>
            </w:r>
          </w:p>
        </w:tc>
        <w:tc>
          <w:tcPr>
            <w:tcW w:w="4252" w:type="dxa"/>
            <w:tcBorders>
              <w:top w:val="single" w:sz="6" w:space="0" w:color="7F7F7F"/>
            </w:tcBorders>
          </w:tcPr>
          <w:p w14:paraId="48D0087C" w14:textId="77777777" w:rsidR="00C1253E" w:rsidRPr="00BF5A7F" w:rsidRDefault="00A45B67" w:rsidP="00A41A21">
            <w:r>
              <w:t>IT</w:t>
            </w:r>
            <w:r w:rsidR="00C1253E" w:rsidRPr="00BF5A7F">
              <w:t>S</w:t>
            </w:r>
          </w:p>
        </w:tc>
      </w:tr>
      <w:tr w:rsidR="00C1253E" w:rsidRPr="00BF5A7F" w14:paraId="0D8D3DE4" w14:textId="77777777" w:rsidTr="00A41A21">
        <w:trPr>
          <w:cantSplit/>
        </w:trPr>
        <w:tc>
          <w:tcPr>
            <w:tcW w:w="4820" w:type="dxa"/>
          </w:tcPr>
          <w:p w14:paraId="56F2EDBE" w14:textId="77777777" w:rsidR="00C1253E" w:rsidRPr="00BF5A7F" w:rsidRDefault="000C4446" w:rsidP="00A41A21">
            <w:r>
              <w:t>Infrastructure</w:t>
            </w:r>
          </w:p>
        </w:tc>
        <w:tc>
          <w:tcPr>
            <w:tcW w:w="4252" w:type="dxa"/>
          </w:tcPr>
          <w:p w14:paraId="409775C1" w14:textId="77777777" w:rsidR="00C1253E" w:rsidRPr="00BF5A7F" w:rsidRDefault="00A45B67" w:rsidP="00A41A21">
            <w:r>
              <w:t>IT</w:t>
            </w:r>
            <w:r w:rsidR="000C4446">
              <w:t>S</w:t>
            </w:r>
          </w:p>
        </w:tc>
      </w:tr>
      <w:tr w:rsidR="00C1253E" w:rsidRPr="00BF5A7F" w14:paraId="556855D4" w14:textId="77777777" w:rsidTr="00A41A21">
        <w:trPr>
          <w:cantSplit/>
        </w:trPr>
        <w:tc>
          <w:tcPr>
            <w:tcW w:w="4820" w:type="dxa"/>
          </w:tcPr>
          <w:p w14:paraId="7E8BFFF5" w14:textId="77777777" w:rsidR="00C1253E" w:rsidRPr="00BF5A7F" w:rsidRDefault="000C4446" w:rsidP="00A41A21">
            <w:r>
              <w:t>Enterprise Applications</w:t>
            </w:r>
          </w:p>
        </w:tc>
        <w:tc>
          <w:tcPr>
            <w:tcW w:w="4252" w:type="dxa"/>
          </w:tcPr>
          <w:p w14:paraId="5BE759AE" w14:textId="77777777" w:rsidR="00C1253E" w:rsidRPr="00BF5A7F" w:rsidRDefault="00A45B67" w:rsidP="00A41A21">
            <w:r>
              <w:t>IT</w:t>
            </w:r>
            <w:r w:rsidR="000C4446">
              <w:t>S</w:t>
            </w:r>
          </w:p>
        </w:tc>
      </w:tr>
      <w:tr w:rsidR="00C1253E" w:rsidRPr="00BF5A7F" w14:paraId="683A6362" w14:textId="77777777" w:rsidTr="00A41A21">
        <w:trPr>
          <w:cantSplit/>
        </w:trPr>
        <w:tc>
          <w:tcPr>
            <w:tcW w:w="4820" w:type="dxa"/>
          </w:tcPr>
          <w:p w14:paraId="1EB19C41" w14:textId="77777777" w:rsidR="00C1253E" w:rsidRPr="00BF5A7F" w:rsidRDefault="000C4446" w:rsidP="00A41A21">
            <w:r>
              <w:t>Support</w:t>
            </w:r>
          </w:p>
        </w:tc>
        <w:tc>
          <w:tcPr>
            <w:tcW w:w="4252" w:type="dxa"/>
          </w:tcPr>
          <w:p w14:paraId="1EC43538" w14:textId="77777777" w:rsidR="00C1253E" w:rsidRPr="00BF5A7F" w:rsidRDefault="00A45B67" w:rsidP="00A41A21">
            <w:r>
              <w:t>IT</w:t>
            </w:r>
            <w:r w:rsidR="000C4446">
              <w:t>S</w:t>
            </w:r>
          </w:p>
        </w:tc>
      </w:tr>
      <w:tr w:rsidR="00C1253E" w:rsidRPr="00BF5A7F" w14:paraId="52D3344A" w14:textId="77777777" w:rsidTr="00A41A21">
        <w:trPr>
          <w:cantSplit/>
        </w:trPr>
        <w:tc>
          <w:tcPr>
            <w:tcW w:w="4820" w:type="dxa"/>
          </w:tcPr>
          <w:p w14:paraId="23038FBA" w14:textId="77777777" w:rsidR="00C1253E" w:rsidRPr="00BF5A7F" w:rsidRDefault="000C4446" w:rsidP="00A41A21">
            <w:r>
              <w:t>Programme Office</w:t>
            </w:r>
          </w:p>
        </w:tc>
        <w:tc>
          <w:tcPr>
            <w:tcW w:w="4252" w:type="dxa"/>
          </w:tcPr>
          <w:p w14:paraId="5AADA657" w14:textId="77777777" w:rsidR="00C1253E" w:rsidRPr="00BF5A7F" w:rsidRDefault="00A45B67" w:rsidP="00A41A21">
            <w:r>
              <w:t>IT</w:t>
            </w:r>
            <w:r w:rsidR="000C4446">
              <w:t>S</w:t>
            </w:r>
          </w:p>
        </w:tc>
      </w:tr>
      <w:tr w:rsidR="000C4446" w:rsidRPr="00BF5A7F" w14:paraId="09382A89" w14:textId="77777777" w:rsidTr="00A41A21">
        <w:trPr>
          <w:cantSplit/>
        </w:trPr>
        <w:tc>
          <w:tcPr>
            <w:tcW w:w="4820" w:type="dxa"/>
          </w:tcPr>
          <w:p w14:paraId="0B89EF2D" w14:textId="77777777" w:rsidR="000C4446" w:rsidRDefault="000C4446" w:rsidP="00A41A21">
            <w:r>
              <w:t>Business Management</w:t>
            </w:r>
          </w:p>
        </w:tc>
        <w:tc>
          <w:tcPr>
            <w:tcW w:w="4252" w:type="dxa"/>
          </w:tcPr>
          <w:p w14:paraId="45A9413A" w14:textId="77777777" w:rsidR="000C4446" w:rsidRDefault="00A45B67" w:rsidP="00A41A21">
            <w:r>
              <w:t>IT</w:t>
            </w:r>
            <w:r w:rsidR="000C4446">
              <w:t>S</w:t>
            </w:r>
          </w:p>
        </w:tc>
      </w:tr>
    </w:tbl>
    <w:p w14:paraId="4AC482CA" w14:textId="77777777" w:rsidR="00C1253E" w:rsidRDefault="00C1253E" w:rsidP="00A45B66">
      <w:pPr>
        <w:rPr>
          <w:b/>
          <w:bCs/>
        </w:rPr>
      </w:pPr>
    </w:p>
    <w:p w14:paraId="6FDA61FC" w14:textId="77777777" w:rsidR="00C1253E" w:rsidRDefault="00C1253E" w:rsidP="00C1253E">
      <w:r>
        <w:br w:type="page"/>
      </w:r>
    </w:p>
    <w:p w14:paraId="27EE0240" w14:textId="77777777" w:rsidR="009D07CB" w:rsidRDefault="009D07CB">
      <w:bookmarkStart w:id="7" w:name="_Toc224039659"/>
      <w:bookmarkStart w:id="8" w:name="_Toc301865625"/>
      <w:bookmarkStart w:id="9" w:name="_Toc301866436"/>
      <w:bookmarkStart w:id="10" w:name="_Toc303846830"/>
      <w:bookmarkStart w:id="11" w:name="_Toc377374930"/>
      <w:bookmarkStart w:id="12" w:name="_Toc425165712"/>
      <w:bookmarkStart w:id="13" w:name="_Toc425165761"/>
      <w:bookmarkStart w:id="14" w:name="_Toc208682684"/>
    </w:p>
    <w:sdt>
      <w:sdtPr>
        <w:rPr>
          <w:rFonts w:ascii="Arial" w:eastAsia="Times New Roman" w:hAnsi="Arial" w:cs="Arial"/>
          <w:snapToGrid w:val="0"/>
          <w:color w:val="auto"/>
          <w:sz w:val="24"/>
          <w:szCs w:val="20"/>
          <w:lang w:val="en-GB"/>
        </w:rPr>
        <w:id w:val="1309274759"/>
        <w:docPartObj>
          <w:docPartGallery w:val="Table of Contents"/>
          <w:docPartUnique/>
        </w:docPartObj>
      </w:sdtPr>
      <w:sdtEndPr>
        <w:rPr>
          <w:b/>
          <w:bCs/>
          <w:noProof/>
        </w:rPr>
      </w:sdtEndPr>
      <w:sdtContent>
        <w:p w14:paraId="70D914E8" w14:textId="77777777" w:rsidR="00DD4685" w:rsidRDefault="00DD4685">
          <w:pPr>
            <w:pStyle w:val="TOCHeading"/>
          </w:pPr>
          <w:r>
            <w:t>Contents</w:t>
          </w:r>
        </w:p>
        <w:p w14:paraId="5304094F" w14:textId="77777777" w:rsidR="00851C1B" w:rsidRDefault="00DD4685">
          <w:pPr>
            <w:pStyle w:val="TOC1"/>
            <w:tabs>
              <w:tab w:val="right" w:leader="dot" w:pos="9010"/>
            </w:tabs>
            <w:rPr>
              <w:rFonts w:asciiTheme="minorHAnsi" w:eastAsiaTheme="minorEastAsia" w:hAnsiTheme="minorHAnsi" w:cstheme="minorBidi"/>
              <w:noProof/>
              <w:snapToGrid/>
              <w:sz w:val="22"/>
              <w:szCs w:val="22"/>
              <w:lang w:eastAsia="en-GB"/>
            </w:rPr>
          </w:pPr>
          <w:r>
            <w:fldChar w:fldCharType="begin"/>
          </w:r>
          <w:r>
            <w:instrText xml:space="preserve"> TOC \o "1-3" \h \z \u </w:instrText>
          </w:r>
          <w:r>
            <w:fldChar w:fldCharType="separate"/>
          </w:r>
          <w:hyperlink w:anchor="_Toc20388165" w:history="1">
            <w:r w:rsidR="00851C1B" w:rsidRPr="00BC0B2B">
              <w:rPr>
                <w:rStyle w:val="Hyperlink"/>
                <w:noProof/>
              </w:rPr>
              <w:t>ICT Acceptable Use Policy</w:t>
            </w:r>
            <w:r w:rsidR="00851C1B">
              <w:rPr>
                <w:noProof/>
                <w:webHidden/>
              </w:rPr>
              <w:tab/>
            </w:r>
            <w:r w:rsidR="00851C1B">
              <w:rPr>
                <w:noProof/>
                <w:webHidden/>
              </w:rPr>
              <w:fldChar w:fldCharType="begin"/>
            </w:r>
            <w:r w:rsidR="00851C1B">
              <w:rPr>
                <w:noProof/>
                <w:webHidden/>
              </w:rPr>
              <w:instrText xml:space="preserve"> PAGEREF _Toc20388165 \h </w:instrText>
            </w:r>
            <w:r w:rsidR="00851C1B">
              <w:rPr>
                <w:noProof/>
                <w:webHidden/>
              </w:rPr>
            </w:r>
            <w:r w:rsidR="00851C1B">
              <w:rPr>
                <w:noProof/>
                <w:webHidden/>
              </w:rPr>
              <w:fldChar w:fldCharType="separate"/>
            </w:r>
            <w:r w:rsidR="00851C1B">
              <w:rPr>
                <w:noProof/>
                <w:webHidden/>
              </w:rPr>
              <w:t>1</w:t>
            </w:r>
            <w:r w:rsidR="00851C1B">
              <w:rPr>
                <w:noProof/>
                <w:webHidden/>
              </w:rPr>
              <w:fldChar w:fldCharType="end"/>
            </w:r>
          </w:hyperlink>
        </w:p>
        <w:p w14:paraId="5CE5ED72" w14:textId="77777777" w:rsidR="00851C1B" w:rsidRDefault="00992DD2">
          <w:pPr>
            <w:pStyle w:val="TOC1"/>
            <w:tabs>
              <w:tab w:val="left" w:pos="480"/>
              <w:tab w:val="right" w:leader="dot" w:pos="9010"/>
            </w:tabs>
            <w:rPr>
              <w:rFonts w:asciiTheme="minorHAnsi" w:eastAsiaTheme="minorEastAsia" w:hAnsiTheme="minorHAnsi" w:cstheme="minorBidi"/>
              <w:noProof/>
              <w:snapToGrid/>
              <w:sz w:val="22"/>
              <w:szCs w:val="22"/>
              <w:lang w:eastAsia="en-GB"/>
            </w:rPr>
          </w:pPr>
          <w:hyperlink w:anchor="_Toc20388166" w:history="1">
            <w:r w:rsidR="00851C1B" w:rsidRPr="00BC0B2B">
              <w:rPr>
                <w:rStyle w:val="Hyperlink"/>
                <w:noProof/>
              </w:rPr>
              <w:t>1.</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Introduction</w:t>
            </w:r>
            <w:r w:rsidR="00851C1B">
              <w:rPr>
                <w:noProof/>
                <w:webHidden/>
              </w:rPr>
              <w:tab/>
            </w:r>
            <w:r w:rsidR="00851C1B">
              <w:rPr>
                <w:noProof/>
                <w:webHidden/>
              </w:rPr>
              <w:fldChar w:fldCharType="begin"/>
            </w:r>
            <w:r w:rsidR="00851C1B">
              <w:rPr>
                <w:noProof/>
                <w:webHidden/>
              </w:rPr>
              <w:instrText xml:space="preserve"> PAGEREF _Toc20388166 \h </w:instrText>
            </w:r>
            <w:r w:rsidR="00851C1B">
              <w:rPr>
                <w:noProof/>
                <w:webHidden/>
              </w:rPr>
            </w:r>
            <w:r w:rsidR="00851C1B">
              <w:rPr>
                <w:noProof/>
                <w:webHidden/>
              </w:rPr>
              <w:fldChar w:fldCharType="separate"/>
            </w:r>
            <w:r w:rsidR="00851C1B">
              <w:rPr>
                <w:noProof/>
                <w:webHidden/>
              </w:rPr>
              <w:t>4</w:t>
            </w:r>
            <w:r w:rsidR="00851C1B">
              <w:rPr>
                <w:noProof/>
                <w:webHidden/>
              </w:rPr>
              <w:fldChar w:fldCharType="end"/>
            </w:r>
          </w:hyperlink>
        </w:p>
        <w:p w14:paraId="7BD30EC5" w14:textId="77777777" w:rsidR="00851C1B" w:rsidRDefault="00992DD2">
          <w:pPr>
            <w:pStyle w:val="TOC3"/>
            <w:tabs>
              <w:tab w:val="left" w:pos="1100"/>
              <w:tab w:val="right" w:leader="dot" w:pos="9010"/>
            </w:tabs>
            <w:rPr>
              <w:rFonts w:asciiTheme="minorHAnsi" w:eastAsiaTheme="minorEastAsia" w:hAnsiTheme="minorHAnsi" w:cstheme="minorBidi"/>
              <w:noProof/>
              <w:snapToGrid/>
              <w:sz w:val="22"/>
              <w:szCs w:val="22"/>
              <w:lang w:eastAsia="en-GB"/>
            </w:rPr>
          </w:pPr>
          <w:hyperlink w:anchor="_Toc20388167" w:history="1">
            <w:r w:rsidR="00851C1B" w:rsidRPr="00BC0B2B">
              <w:rPr>
                <w:rStyle w:val="Hyperlink"/>
                <w:noProof/>
              </w:rPr>
              <w:t>1.1</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Purpose</w:t>
            </w:r>
            <w:r w:rsidR="00851C1B">
              <w:rPr>
                <w:noProof/>
                <w:webHidden/>
              </w:rPr>
              <w:tab/>
            </w:r>
            <w:r w:rsidR="00851C1B">
              <w:rPr>
                <w:noProof/>
                <w:webHidden/>
              </w:rPr>
              <w:fldChar w:fldCharType="begin"/>
            </w:r>
            <w:r w:rsidR="00851C1B">
              <w:rPr>
                <w:noProof/>
                <w:webHidden/>
              </w:rPr>
              <w:instrText xml:space="preserve"> PAGEREF _Toc20388167 \h </w:instrText>
            </w:r>
            <w:r w:rsidR="00851C1B">
              <w:rPr>
                <w:noProof/>
                <w:webHidden/>
              </w:rPr>
            </w:r>
            <w:r w:rsidR="00851C1B">
              <w:rPr>
                <w:noProof/>
                <w:webHidden/>
              </w:rPr>
              <w:fldChar w:fldCharType="separate"/>
            </w:r>
            <w:r w:rsidR="00851C1B">
              <w:rPr>
                <w:noProof/>
                <w:webHidden/>
              </w:rPr>
              <w:t>4</w:t>
            </w:r>
            <w:r w:rsidR="00851C1B">
              <w:rPr>
                <w:noProof/>
                <w:webHidden/>
              </w:rPr>
              <w:fldChar w:fldCharType="end"/>
            </w:r>
          </w:hyperlink>
        </w:p>
        <w:p w14:paraId="6AEA8C08" w14:textId="77777777" w:rsidR="00851C1B" w:rsidRDefault="00992DD2">
          <w:pPr>
            <w:pStyle w:val="TOC3"/>
            <w:tabs>
              <w:tab w:val="left" w:pos="1100"/>
              <w:tab w:val="right" w:leader="dot" w:pos="9010"/>
            </w:tabs>
            <w:rPr>
              <w:rFonts w:asciiTheme="minorHAnsi" w:eastAsiaTheme="minorEastAsia" w:hAnsiTheme="minorHAnsi" w:cstheme="minorBidi"/>
              <w:noProof/>
              <w:snapToGrid/>
              <w:sz w:val="22"/>
              <w:szCs w:val="22"/>
              <w:lang w:eastAsia="en-GB"/>
            </w:rPr>
          </w:pPr>
          <w:hyperlink w:anchor="_Toc20388168" w:history="1">
            <w:r w:rsidR="00851C1B" w:rsidRPr="00BC0B2B">
              <w:rPr>
                <w:rStyle w:val="Hyperlink"/>
                <w:noProof/>
              </w:rPr>
              <w:t>1.2</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Scope</w:t>
            </w:r>
            <w:r w:rsidR="00851C1B">
              <w:rPr>
                <w:noProof/>
                <w:webHidden/>
              </w:rPr>
              <w:tab/>
            </w:r>
            <w:r w:rsidR="00851C1B">
              <w:rPr>
                <w:noProof/>
                <w:webHidden/>
              </w:rPr>
              <w:fldChar w:fldCharType="begin"/>
            </w:r>
            <w:r w:rsidR="00851C1B">
              <w:rPr>
                <w:noProof/>
                <w:webHidden/>
              </w:rPr>
              <w:instrText xml:space="preserve"> PAGEREF _Toc20388168 \h </w:instrText>
            </w:r>
            <w:r w:rsidR="00851C1B">
              <w:rPr>
                <w:noProof/>
                <w:webHidden/>
              </w:rPr>
            </w:r>
            <w:r w:rsidR="00851C1B">
              <w:rPr>
                <w:noProof/>
                <w:webHidden/>
              </w:rPr>
              <w:fldChar w:fldCharType="separate"/>
            </w:r>
            <w:r w:rsidR="00851C1B">
              <w:rPr>
                <w:noProof/>
                <w:webHidden/>
              </w:rPr>
              <w:t>4</w:t>
            </w:r>
            <w:r w:rsidR="00851C1B">
              <w:rPr>
                <w:noProof/>
                <w:webHidden/>
              </w:rPr>
              <w:fldChar w:fldCharType="end"/>
            </w:r>
          </w:hyperlink>
        </w:p>
        <w:p w14:paraId="430B0179" w14:textId="77777777" w:rsidR="00851C1B" w:rsidRDefault="00992DD2">
          <w:pPr>
            <w:pStyle w:val="TOC3"/>
            <w:tabs>
              <w:tab w:val="left" w:pos="1100"/>
              <w:tab w:val="right" w:leader="dot" w:pos="9010"/>
            </w:tabs>
            <w:rPr>
              <w:rFonts w:asciiTheme="minorHAnsi" w:eastAsiaTheme="minorEastAsia" w:hAnsiTheme="minorHAnsi" w:cstheme="minorBidi"/>
              <w:noProof/>
              <w:snapToGrid/>
              <w:sz w:val="22"/>
              <w:szCs w:val="22"/>
              <w:lang w:eastAsia="en-GB"/>
            </w:rPr>
          </w:pPr>
          <w:hyperlink w:anchor="_Toc20388169" w:history="1">
            <w:r w:rsidR="00851C1B" w:rsidRPr="00BC0B2B">
              <w:rPr>
                <w:rStyle w:val="Hyperlink"/>
                <w:noProof/>
              </w:rPr>
              <w:t>1.3</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Distribution</w:t>
            </w:r>
            <w:r w:rsidR="00851C1B">
              <w:rPr>
                <w:noProof/>
                <w:webHidden/>
              </w:rPr>
              <w:tab/>
            </w:r>
            <w:r w:rsidR="00851C1B">
              <w:rPr>
                <w:noProof/>
                <w:webHidden/>
              </w:rPr>
              <w:fldChar w:fldCharType="begin"/>
            </w:r>
            <w:r w:rsidR="00851C1B">
              <w:rPr>
                <w:noProof/>
                <w:webHidden/>
              </w:rPr>
              <w:instrText xml:space="preserve"> PAGEREF _Toc20388169 \h </w:instrText>
            </w:r>
            <w:r w:rsidR="00851C1B">
              <w:rPr>
                <w:noProof/>
                <w:webHidden/>
              </w:rPr>
            </w:r>
            <w:r w:rsidR="00851C1B">
              <w:rPr>
                <w:noProof/>
                <w:webHidden/>
              </w:rPr>
              <w:fldChar w:fldCharType="separate"/>
            </w:r>
            <w:r w:rsidR="00851C1B">
              <w:rPr>
                <w:noProof/>
                <w:webHidden/>
              </w:rPr>
              <w:t>4</w:t>
            </w:r>
            <w:r w:rsidR="00851C1B">
              <w:rPr>
                <w:noProof/>
                <w:webHidden/>
              </w:rPr>
              <w:fldChar w:fldCharType="end"/>
            </w:r>
          </w:hyperlink>
        </w:p>
        <w:p w14:paraId="18444E75" w14:textId="77777777" w:rsidR="00851C1B" w:rsidRDefault="00992DD2">
          <w:pPr>
            <w:pStyle w:val="TOC3"/>
            <w:tabs>
              <w:tab w:val="left" w:pos="1100"/>
              <w:tab w:val="right" w:leader="dot" w:pos="9010"/>
            </w:tabs>
            <w:rPr>
              <w:rFonts w:asciiTheme="minorHAnsi" w:eastAsiaTheme="minorEastAsia" w:hAnsiTheme="minorHAnsi" w:cstheme="minorBidi"/>
              <w:noProof/>
              <w:snapToGrid/>
              <w:sz w:val="22"/>
              <w:szCs w:val="22"/>
              <w:lang w:eastAsia="en-GB"/>
            </w:rPr>
          </w:pPr>
          <w:hyperlink w:anchor="_Toc20388170" w:history="1">
            <w:r w:rsidR="00851C1B" w:rsidRPr="00BC0B2B">
              <w:rPr>
                <w:rStyle w:val="Hyperlink"/>
                <w:noProof/>
              </w:rPr>
              <w:t>1.4</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Related Policies</w:t>
            </w:r>
            <w:r w:rsidR="00851C1B">
              <w:rPr>
                <w:noProof/>
                <w:webHidden/>
              </w:rPr>
              <w:tab/>
            </w:r>
            <w:r w:rsidR="00851C1B">
              <w:rPr>
                <w:noProof/>
                <w:webHidden/>
              </w:rPr>
              <w:fldChar w:fldCharType="begin"/>
            </w:r>
            <w:r w:rsidR="00851C1B">
              <w:rPr>
                <w:noProof/>
                <w:webHidden/>
              </w:rPr>
              <w:instrText xml:space="preserve"> PAGEREF _Toc20388170 \h </w:instrText>
            </w:r>
            <w:r w:rsidR="00851C1B">
              <w:rPr>
                <w:noProof/>
                <w:webHidden/>
              </w:rPr>
            </w:r>
            <w:r w:rsidR="00851C1B">
              <w:rPr>
                <w:noProof/>
                <w:webHidden/>
              </w:rPr>
              <w:fldChar w:fldCharType="separate"/>
            </w:r>
            <w:r w:rsidR="00851C1B">
              <w:rPr>
                <w:noProof/>
                <w:webHidden/>
              </w:rPr>
              <w:t>4</w:t>
            </w:r>
            <w:r w:rsidR="00851C1B">
              <w:rPr>
                <w:noProof/>
                <w:webHidden/>
              </w:rPr>
              <w:fldChar w:fldCharType="end"/>
            </w:r>
          </w:hyperlink>
        </w:p>
        <w:p w14:paraId="0F82ADA2" w14:textId="77777777" w:rsidR="00851C1B" w:rsidRDefault="00992DD2">
          <w:pPr>
            <w:pStyle w:val="TOC1"/>
            <w:tabs>
              <w:tab w:val="left" w:pos="480"/>
              <w:tab w:val="right" w:leader="dot" w:pos="9010"/>
            </w:tabs>
            <w:rPr>
              <w:rFonts w:asciiTheme="minorHAnsi" w:eastAsiaTheme="minorEastAsia" w:hAnsiTheme="minorHAnsi" w:cstheme="minorBidi"/>
              <w:noProof/>
              <w:snapToGrid/>
              <w:sz w:val="22"/>
              <w:szCs w:val="22"/>
              <w:lang w:eastAsia="en-GB"/>
            </w:rPr>
          </w:pPr>
          <w:hyperlink w:anchor="_Toc20388171" w:history="1">
            <w:r w:rsidR="00851C1B" w:rsidRPr="00BC0B2B">
              <w:rPr>
                <w:rStyle w:val="Hyperlink"/>
                <w:noProof/>
              </w:rPr>
              <w:t>2.</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Acceptable Use</w:t>
            </w:r>
            <w:r w:rsidR="00851C1B">
              <w:rPr>
                <w:noProof/>
                <w:webHidden/>
              </w:rPr>
              <w:tab/>
            </w:r>
            <w:r w:rsidR="00851C1B">
              <w:rPr>
                <w:noProof/>
                <w:webHidden/>
              </w:rPr>
              <w:fldChar w:fldCharType="begin"/>
            </w:r>
            <w:r w:rsidR="00851C1B">
              <w:rPr>
                <w:noProof/>
                <w:webHidden/>
              </w:rPr>
              <w:instrText xml:space="preserve"> PAGEREF _Toc20388171 \h </w:instrText>
            </w:r>
            <w:r w:rsidR="00851C1B">
              <w:rPr>
                <w:noProof/>
                <w:webHidden/>
              </w:rPr>
            </w:r>
            <w:r w:rsidR="00851C1B">
              <w:rPr>
                <w:noProof/>
                <w:webHidden/>
              </w:rPr>
              <w:fldChar w:fldCharType="separate"/>
            </w:r>
            <w:r w:rsidR="00851C1B">
              <w:rPr>
                <w:noProof/>
                <w:webHidden/>
              </w:rPr>
              <w:t>5</w:t>
            </w:r>
            <w:r w:rsidR="00851C1B">
              <w:rPr>
                <w:noProof/>
                <w:webHidden/>
              </w:rPr>
              <w:fldChar w:fldCharType="end"/>
            </w:r>
          </w:hyperlink>
        </w:p>
        <w:p w14:paraId="234BCC23" w14:textId="77777777" w:rsidR="00851C1B" w:rsidRDefault="00992DD2">
          <w:pPr>
            <w:pStyle w:val="TOC3"/>
            <w:tabs>
              <w:tab w:val="left" w:pos="1100"/>
              <w:tab w:val="right" w:leader="dot" w:pos="9010"/>
            </w:tabs>
            <w:rPr>
              <w:rFonts w:asciiTheme="minorHAnsi" w:eastAsiaTheme="minorEastAsia" w:hAnsiTheme="minorHAnsi" w:cstheme="minorBidi"/>
              <w:noProof/>
              <w:snapToGrid/>
              <w:sz w:val="22"/>
              <w:szCs w:val="22"/>
              <w:lang w:eastAsia="en-GB"/>
            </w:rPr>
          </w:pPr>
          <w:hyperlink w:anchor="_Toc20388172" w:history="1">
            <w:r w:rsidR="00851C1B" w:rsidRPr="00BC0B2B">
              <w:rPr>
                <w:rStyle w:val="Hyperlink"/>
                <w:noProof/>
              </w:rPr>
              <w:t>2.1</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Authorisation</w:t>
            </w:r>
            <w:r w:rsidR="00851C1B">
              <w:rPr>
                <w:noProof/>
                <w:webHidden/>
              </w:rPr>
              <w:tab/>
            </w:r>
            <w:r w:rsidR="00851C1B">
              <w:rPr>
                <w:noProof/>
                <w:webHidden/>
              </w:rPr>
              <w:fldChar w:fldCharType="begin"/>
            </w:r>
            <w:r w:rsidR="00851C1B">
              <w:rPr>
                <w:noProof/>
                <w:webHidden/>
              </w:rPr>
              <w:instrText xml:space="preserve"> PAGEREF _Toc20388172 \h </w:instrText>
            </w:r>
            <w:r w:rsidR="00851C1B">
              <w:rPr>
                <w:noProof/>
                <w:webHidden/>
              </w:rPr>
            </w:r>
            <w:r w:rsidR="00851C1B">
              <w:rPr>
                <w:noProof/>
                <w:webHidden/>
              </w:rPr>
              <w:fldChar w:fldCharType="separate"/>
            </w:r>
            <w:r w:rsidR="00851C1B">
              <w:rPr>
                <w:noProof/>
                <w:webHidden/>
              </w:rPr>
              <w:t>5</w:t>
            </w:r>
            <w:r w:rsidR="00851C1B">
              <w:rPr>
                <w:noProof/>
                <w:webHidden/>
              </w:rPr>
              <w:fldChar w:fldCharType="end"/>
            </w:r>
          </w:hyperlink>
        </w:p>
        <w:p w14:paraId="2DE31B9B" w14:textId="77777777" w:rsidR="00851C1B" w:rsidRDefault="00992DD2">
          <w:pPr>
            <w:pStyle w:val="TOC3"/>
            <w:tabs>
              <w:tab w:val="left" w:pos="1100"/>
              <w:tab w:val="right" w:leader="dot" w:pos="9010"/>
            </w:tabs>
            <w:rPr>
              <w:rFonts w:asciiTheme="minorHAnsi" w:eastAsiaTheme="minorEastAsia" w:hAnsiTheme="minorHAnsi" w:cstheme="minorBidi"/>
              <w:noProof/>
              <w:snapToGrid/>
              <w:sz w:val="22"/>
              <w:szCs w:val="22"/>
              <w:lang w:eastAsia="en-GB"/>
            </w:rPr>
          </w:pPr>
          <w:hyperlink w:anchor="_Toc20388173" w:history="1">
            <w:r w:rsidR="00851C1B" w:rsidRPr="00BC0B2B">
              <w:rPr>
                <w:rStyle w:val="Hyperlink"/>
                <w:noProof/>
              </w:rPr>
              <w:t>2.2</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Privacy and Monitoring</w:t>
            </w:r>
            <w:r w:rsidR="00851C1B">
              <w:rPr>
                <w:noProof/>
                <w:webHidden/>
              </w:rPr>
              <w:tab/>
            </w:r>
            <w:r w:rsidR="00851C1B">
              <w:rPr>
                <w:noProof/>
                <w:webHidden/>
              </w:rPr>
              <w:fldChar w:fldCharType="begin"/>
            </w:r>
            <w:r w:rsidR="00851C1B">
              <w:rPr>
                <w:noProof/>
                <w:webHidden/>
              </w:rPr>
              <w:instrText xml:space="preserve"> PAGEREF _Toc20388173 \h </w:instrText>
            </w:r>
            <w:r w:rsidR="00851C1B">
              <w:rPr>
                <w:noProof/>
                <w:webHidden/>
              </w:rPr>
            </w:r>
            <w:r w:rsidR="00851C1B">
              <w:rPr>
                <w:noProof/>
                <w:webHidden/>
              </w:rPr>
              <w:fldChar w:fldCharType="separate"/>
            </w:r>
            <w:r w:rsidR="00851C1B">
              <w:rPr>
                <w:noProof/>
                <w:webHidden/>
              </w:rPr>
              <w:t>5</w:t>
            </w:r>
            <w:r w:rsidR="00851C1B">
              <w:rPr>
                <w:noProof/>
                <w:webHidden/>
              </w:rPr>
              <w:fldChar w:fldCharType="end"/>
            </w:r>
          </w:hyperlink>
        </w:p>
        <w:p w14:paraId="7CA6C852" w14:textId="77777777" w:rsidR="00851C1B" w:rsidRDefault="00992DD2">
          <w:pPr>
            <w:pStyle w:val="TOC3"/>
            <w:tabs>
              <w:tab w:val="left" w:pos="1100"/>
              <w:tab w:val="right" w:leader="dot" w:pos="9010"/>
            </w:tabs>
            <w:rPr>
              <w:rFonts w:asciiTheme="minorHAnsi" w:eastAsiaTheme="minorEastAsia" w:hAnsiTheme="minorHAnsi" w:cstheme="minorBidi"/>
              <w:noProof/>
              <w:snapToGrid/>
              <w:sz w:val="22"/>
              <w:szCs w:val="22"/>
              <w:lang w:eastAsia="en-GB"/>
            </w:rPr>
          </w:pPr>
          <w:hyperlink w:anchor="_Toc20388174" w:history="1">
            <w:r w:rsidR="00851C1B" w:rsidRPr="00BC0B2B">
              <w:rPr>
                <w:rStyle w:val="Hyperlink"/>
                <w:noProof/>
              </w:rPr>
              <w:t>2.3</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Definitions of Unacceptable &amp; Acceptable Usage</w:t>
            </w:r>
            <w:r w:rsidR="00851C1B">
              <w:rPr>
                <w:noProof/>
                <w:webHidden/>
              </w:rPr>
              <w:tab/>
            </w:r>
            <w:r w:rsidR="00851C1B">
              <w:rPr>
                <w:noProof/>
                <w:webHidden/>
              </w:rPr>
              <w:fldChar w:fldCharType="begin"/>
            </w:r>
            <w:r w:rsidR="00851C1B">
              <w:rPr>
                <w:noProof/>
                <w:webHidden/>
              </w:rPr>
              <w:instrText xml:space="preserve"> PAGEREF _Toc20388174 \h </w:instrText>
            </w:r>
            <w:r w:rsidR="00851C1B">
              <w:rPr>
                <w:noProof/>
                <w:webHidden/>
              </w:rPr>
            </w:r>
            <w:r w:rsidR="00851C1B">
              <w:rPr>
                <w:noProof/>
                <w:webHidden/>
              </w:rPr>
              <w:fldChar w:fldCharType="separate"/>
            </w:r>
            <w:r w:rsidR="00851C1B">
              <w:rPr>
                <w:noProof/>
                <w:webHidden/>
              </w:rPr>
              <w:t>6</w:t>
            </w:r>
            <w:r w:rsidR="00851C1B">
              <w:rPr>
                <w:noProof/>
                <w:webHidden/>
              </w:rPr>
              <w:fldChar w:fldCharType="end"/>
            </w:r>
          </w:hyperlink>
        </w:p>
        <w:p w14:paraId="255FE8C7" w14:textId="77777777" w:rsidR="00851C1B" w:rsidRDefault="00992DD2">
          <w:pPr>
            <w:pStyle w:val="TOC1"/>
            <w:tabs>
              <w:tab w:val="left" w:pos="480"/>
              <w:tab w:val="right" w:leader="dot" w:pos="9010"/>
            </w:tabs>
            <w:rPr>
              <w:rFonts w:asciiTheme="minorHAnsi" w:eastAsiaTheme="minorEastAsia" w:hAnsiTheme="minorHAnsi" w:cstheme="minorBidi"/>
              <w:noProof/>
              <w:snapToGrid/>
              <w:sz w:val="22"/>
              <w:szCs w:val="22"/>
              <w:lang w:eastAsia="en-GB"/>
            </w:rPr>
          </w:pPr>
          <w:hyperlink w:anchor="_Toc20388175" w:history="1">
            <w:r w:rsidR="00851C1B" w:rsidRPr="00BC0B2B">
              <w:rPr>
                <w:rStyle w:val="Hyperlink"/>
                <w:noProof/>
              </w:rPr>
              <w:t>3.</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Individuals Must Not</w:t>
            </w:r>
            <w:r w:rsidR="00851C1B">
              <w:rPr>
                <w:noProof/>
                <w:webHidden/>
              </w:rPr>
              <w:tab/>
            </w:r>
            <w:r w:rsidR="00851C1B">
              <w:rPr>
                <w:noProof/>
                <w:webHidden/>
              </w:rPr>
              <w:fldChar w:fldCharType="begin"/>
            </w:r>
            <w:r w:rsidR="00851C1B">
              <w:rPr>
                <w:noProof/>
                <w:webHidden/>
              </w:rPr>
              <w:instrText xml:space="preserve"> PAGEREF _Toc20388175 \h </w:instrText>
            </w:r>
            <w:r w:rsidR="00851C1B">
              <w:rPr>
                <w:noProof/>
                <w:webHidden/>
              </w:rPr>
            </w:r>
            <w:r w:rsidR="00851C1B">
              <w:rPr>
                <w:noProof/>
                <w:webHidden/>
              </w:rPr>
              <w:fldChar w:fldCharType="separate"/>
            </w:r>
            <w:r w:rsidR="00851C1B">
              <w:rPr>
                <w:noProof/>
                <w:webHidden/>
              </w:rPr>
              <w:t>8</w:t>
            </w:r>
            <w:r w:rsidR="00851C1B">
              <w:rPr>
                <w:noProof/>
                <w:webHidden/>
              </w:rPr>
              <w:fldChar w:fldCharType="end"/>
            </w:r>
          </w:hyperlink>
        </w:p>
        <w:p w14:paraId="6B71DEDA" w14:textId="77777777" w:rsidR="00851C1B" w:rsidRDefault="00992DD2">
          <w:pPr>
            <w:pStyle w:val="TOC1"/>
            <w:tabs>
              <w:tab w:val="left" w:pos="480"/>
              <w:tab w:val="right" w:leader="dot" w:pos="9010"/>
            </w:tabs>
            <w:rPr>
              <w:rFonts w:asciiTheme="minorHAnsi" w:eastAsiaTheme="minorEastAsia" w:hAnsiTheme="minorHAnsi" w:cstheme="minorBidi"/>
              <w:noProof/>
              <w:snapToGrid/>
              <w:sz w:val="22"/>
              <w:szCs w:val="22"/>
              <w:lang w:eastAsia="en-GB"/>
            </w:rPr>
          </w:pPr>
          <w:hyperlink w:anchor="_Toc20388176" w:history="1">
            <w:r w:rsidR="00851C1B" w:rsidRPr="00BC0B2B">
              <w:rPr>
                <w:rStyle w:val="Hyperlink"/>
                <w:noProof/>
              </w:rPr>
              <w:t>4.</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Staff Working Off Site</w:t>
            </w:r>
            <w:r w:rsidR="00851C1B">
              <w:rPr>
                <w:noProof/>
                <w:webHidden/>
              </w:rPr>
              <w:tab/>
            </w:r>
            <w:r w:rsidR="00851C1B">
              <w:rPr>
                <w:noProof/>
                <w:webHidden/>
              </w:rPr>
              <w:fldChar w:fldCharType="begin"/>
            </w:r>
            <w:r w:rsidR="00851C1B">
              <w:rPr>
                <w:noProof/>
                <w:webHidden/>
              </w:rPr>
              <w:instrText xml:space="preserve"> PAGEREF _Toc20388176 \h </w:instrText>
            </w:r>
            <w:r w:rsidR="00851C1B">
              <w:rPr>
                <w:noProof/>
                <w:webHidden/>
              </w:rPr>
            </w:r>
            <w:r w:rsidR="00851C1B">
              <w:rPr>
                <w:noProof/>
                <w:webHidden/>
              </w:rPr>
              <w:fldChar w:fldCharType="separate"/>
            </w:r>
            <w:r w:rsidR="00851C1B">
              <w:rPr>
                <w:noProof/>
                <w:webHidden/>
              </w:rPr>
              <w:t>9</w:t>
            </w:r>
            <w:r w:rsidR="00851C1B">
              <w:rPr>
                <w:noProof/>
                <w:webHidden/>
              </w:rPr>
              <w:fldChar w:fldCharType="end"/>
            </w:r>
          </w:hyperlink>
        </w:p>
        <w:p w14:paraId="0A7F32C1" w14:textId="77777777" w:rsidR="00851C1B" w:rsidRDefault="00992DD2">
          <w:pPr>
            <w:pStyle w:val="TOC1"/>
            <w:tabs>
              <w:tab w:val="left" w:pos="480"/>
              <w:tab w:val="right" w:leader="dot" w:pos="9010"/>
            </w:tabs>
            <w:rPr>
              <w:rFonts w:asciiTheme="minorHAnsi" w:eastAsiaTheme="minorEastAsia" w:hAnsiTheme="minorHAnsi" w:cstheme="minorBidi"/>
              <w:noProof/>
              <w:snapToGrid/>
              <w:sz w:val="22"/>
              <w:szCs w:val="22"/>
              <w:lang w:eastAsia="en-GB"/>
            </w:rPr>
          </w:pPr>
          <w:hyperlink w:anchor="_Toc20388177" w:history="1">
            <w:r w:rsidR="00851C1B" w:rsidRPr="00BC0B2B">
              <w:rPr>
                <w:rStyle w:val="Hyperlink"/>
                <w:noProof/>
              </w:rPr>
              <w:t>5.</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Staff upon Termination of Contract</w:t>
            </w:r>
            <w:r w:rsidR="00851C1B">
              <w:rPr>
                <w:noProof/>
                <w:webHidden/>
              </w:rPr>
              <w:tab/>
            </w:r>
            <w:r w:rsidR="00851C1B">
              <w:rPr>
                <w:noProof/>
                <w:webHidden/>
              </w:rPr>
              <w:fldChar w:fldCharType="begin"/>
            </w:r>
            <w:r w:rsidR="00851C1B">
              <w:rPr>
                <w:noProof/>
                <w:webHidden/>
              </w:rPr>
              <w:instrText xml:space="preserve"> PAGEREF _Toc20388177 \h </w:instrText>
            </w:r>
            <w:r w:rsidR="00851C1B">
              <w:rPr>
                <w:noProof/>
                <w:webHidden/>
              </w:rPr>
            </w:r>
            <w:r w:rsidR="00851C1B">
              <w:rPr>
                <w:noProof/>
                <w:webHidden/>
              </w:rPr>
              <w:fldChar w:fldCharType="separate"/>
            </w:r>
            <w:r w:rsidR="00851C1B">
              <w:rPr>
                <w:noProof/>
                <w:webHidden/>
              </w:rPr>
              <w:t>9</w:t>
            </w:r>
            <w:r w:rsidR="00851C1B">
              <w:rPr>
                <w:noProof/>
                <w:webHidden/>
              </w:rPr>
              <w:fldChar w:fldCharType="end"/>
            </w:r>
          </w:hyperlink>
        </w:p>
        <w:p w14:paraId="4CCADCC5" w14:textId="77777777" w:rsidR="00851C1B" w:rsidRDefault="00992DD2">
          <w:pPr>
            <w:pStyle w:val="TOC1"/>
            <w:tabs>
              <w:tab w:val="left" w:pos="480"/>
              <w:tab w:val="right" w:leader="dot" w:pos="9010"/>
            </w:tabs>
            <w:rPr>
              <w:rFonts w:asciiTheme="minorHAnsi" w:eastAsiaTheme="minorEastAsia" w:hAnsiTheme="minorHAnsi" w:cstheme="minorBidi"/>
              <w:noProof/>
              <w:snapToGrid/>
              <w:sz w:val="22"/>
              <w:szCs w:val="22"/>
              <w:lang w:eastAsia="en-GB"/>
            </w:rPr>
          </w:pPr>
          <w:hyperlink w:anchor="_Toc20388178" w:history="1">
            <w:r w:rsidR="00851C1B" w:rsidRPr="00BC0B2B">
              <w:rPr>
                <w:rStyle w:val="Hyperlink"/>
                <w:noProof/>
              </w:rPr>
              <w:t>6.</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Access to Software</w:t>
            </w:r>
            <w:r w:rsidR="00851C1B">
              <w:rPr>
                <w:noProof/>
                <w:webHidden/>
              </w:rPr>
              <w:tab/>
            </w:r>
            <w:r w:rsidR="00851C1B">
              <w:rPr>
                <w:noProof/>
                <w:webHidden/>
              </w:rPr>
              <w:fldChar w:fldCharType="begin"/>
            </w:r>
            <w:r w:rsidR="00851C1B">
              <w:rPr>
                <w:noProof/>
                <w:webHidden/>
              </w:rPr>
              <w:instrText xml:space="preserve"> PAGEREF _Toc20388178 \h </w:instrText>
            </w:r>
            <w:r w:rsidR="00851C1B">
              <w:rPr>
                <w:noProof/>
                <w:webHidden/>
              </w:rPr>
            </w:r>
            <w:r w:rsidR="00851C1B">
              <w:rPr>
                <w:noProof/>
                <w:webHidden/>
              </w:rPr>
              <w:fldChar w:fldCharType="separate"/>
            </w:r>
            <w:r w:rsidR="00851C1B">
              <w:rPr>
                <w:noProof/>
                <w:webHidden/>
              </w:rPr>
              <w:t>9</w:t>
            </w:r>
            <w:r w:rsidR="00851C1B">
              <w:rPr>
                <w:noProof/>
                <w:webHidden/>
              </w:rPr>
              <w:fldChar w:fldCharType="end"/>
            </w:r>
          </w:hyperlink>
        </w:p>
        <w:p w14:paraId="1D84566C" w14:textId="77777777" w:rsidR="00851C1B" w:rsidRDefault="00992DD2">
          <w:pPr>
            <w:pStyle w:val="TOC1"/>
            <w:tabs>
              <w:tab w:val="left" w:pos="480"/>
              <w:tab w:val="right" w:leader="dot" w:pos="9010"/>
            </w:tabs>
            <w:rPr>
              <w:rFonts w:asciiTheme="minorHAnsi" w:eastAsiaTheme="minorEastAsia" w:hAnsiTheme="minorHAnsi" w:cstheme="minorBidi"/>
              <w:noProof/>
              <w:snapToGrid/>
              <w:sz w:val="22"/>
              <w:szCs w:val="22"/>
              <w:lang w:eastAsia="en-GB"/>
            </w:rPr>
          </w:pPr>
          <w:hyperlink w:anchor="_Toc20388179" w:history="1">
            <w:r w:rsidR="00851C1B" w:rsidRPr="00BC0B2B">
              <w:rPr>
                <w:rStyle w:val="Hyperlink"/>
                <w:noProof/>
              </w:rPr>
              <w:t>7.</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Legislation and Legal Requirements</w:t>
            </w:r>
            <w:r w:rsidR="00851C1B">
              <w:rPr>
                <w:noProof/>
                <w:webHidden/>
              </w:rPr>
              <w:tab/>
            </w:r>
            <w:r w:rsidR="00851C1B">
              <w:rPr>
                <w:noProof/>
                <w:webHidden/>
              </w:rPr>
              <w:fldChar w:fldCharType="begin"/>
            </w:r>
            <w:r w:rsidR="00851C1B">
              <w:rPr>
                <w:noProof/>
                <w:webHidden/>
              </w:rPr>
              <w:instrText xml:space="preserve"> PAGEREF _Toc20388179 \h </w:instrText>
            </w:r>
            <w:r w:rsidR="00851C1B">
              <w:rPr>
                <w:noProof/>
                <w:webHidden/>
              </w:rPr>
            </w:r>
            <w:r w:rsidR="00851C1B">
              <w:rPr>
                <w:noProof/>
                <w:webHidden/>
              </w:rPr>
              <w:fldChar w:fldCharType="separate"/>
            </w:r>
            <w:r w:rsidR="00851C1B">
              <w:rPr>
                <w:noProof/>
                <w:webHidden/>
              </w:rPr>
              <w:t>10</w:t>
            </w:r>
            <w:r w:rsidR="00851C1B">
              <w:rPr>
                <w:noProof/>
                <w:webHidden/>
              </w:rPr>
              <w:fldChar w:fldCharType="end"/>
            </w:r>
          </w:hyperlink>
        </w:p>
        <w:p w14:paraId="78F43370" w14:textId="77777777" w:rsidR="00851C1B" w:rsidRDefault="00992DD2">
          <w:pPr>
            <w:pStyle w:val="TOC1"/>
            <w:tabs>
              <w:tab w:val="left" w:pos="480"/>
              <w:tab w:val="right" w:leader="dot" w:pos="9010"/>
            </w:tabs>
            <w:rPr>
              <w:rFonts w:asciiTheme="minorHAnsi" w:eastAsiaTheme="minorEastAsia" w:hAnsiTheme="minorHAnsi" w:cstheme="minorBidi"/>
              <w:noProof/>
              <w:snapToGrid/>
              <w:sz w:val="22"/>
              <w:szCs w:val="22"/>
              <w:lang w:eastAsia="en-GB"/>
            </w:rPr>
          </w:pPr>
          <w:hyperlink w:anchor="_Toc20388180" w:history="1">
            <w:r w:rsidR="00851C1B" w:rsidRPr="00BC0B2B">
              <w:rPr>
                <w:rStyle w:val="Hyperlink"/>
                <w:noProof/>
              </w:rPr>
              <w:t>8.</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Exceptions Process</w:t>
            </w:r>
            <w:r w:rsidR="00851C1B">
              <w:rPr>
                <w:noProof/>
                <w:webHidden/>
              </w:rPr>
              <w:tab/>
            </w:r>
            <w:r w:rsidR="00851C1B">
              <w:rPr>
                <w:noProof/>
                <w:webHidden/>
              </w:rPr>
              <w:fldChar w:fldCharType="begin"/>
            </w:r>
            <w:r w:rsidR="00851C1B">
              <w:rPr>
                <w:noProof/>
                <w:webHidden/>
              </w:rPr>
              <w:instrText xml:space="preserve"> PAGEREF _Toc20388180 \h </w:instrText>
            </w:r>
            <w:r w:rsidR="00851C1B">
              <w:rPr>
                <w:noProof/>
                <w:webHidden/>
              </w:rPr>
            </w:r>
            <w:r w:rsidR="00851C1B">
              <w:rPr>
                <w:noProof/>
                <w:webHidden/>
              </w:rPr>
              <w:fldChar w:fldCharType="separate"/>
            </w:r>
            <w:r w:rsidR="00851C1B">
              <w:rPr>
                <w:noProof/>
                <w:webHidden/>
              </w:rPr>
              <w:t>13</w:t>
            </w:r>
            <w:r w:rsidR="00851C1B">
              <w:rPr>
                <w:noProof/>
                <w:webHidden/>
              </w:rPr>
              <w:fldChar w:fldCharType="end"/>
            </w:r>
          </w:hyperlink>
        </w:p>
        <w:p w14:paraId="4B665775" w14:textId="77777777" w:rsidR="00851C1B" w:rsidRDefault="00992DD2">
          <w:pPr>
            <w:pStyle w:val="TOC1"/>
            <w:tabs>
              <w:tab w:val="left" w:pos="480"/>
              <w:tab w:val="right" w:leader="dot" w:pos="9010"/>
            </w:tabs>
            <w:rPr>
              <w:rFonts w:asciiTheme="minorHAnsi" w:eastAsiaTheme="minorEastAsia" w:hAnsiTheme="minorHAnsi" w:cstheme="minorBidi"/>
              <w:noProof/>
              <w:snapToGrid/>
              <w:sz w:val="22"/>
              <w:szCs w:val="22"/>
              <w:lang w:eastAsia="en-GB"/>
            </w:rPr>
          </w:pPr>
          <w:hyperlink w:anchor="_Toc20388181" w:history="1">
            <w:r w:rsidR="00851C1B" w:rsidRPr="00BC0B2B">
              <w:rPr>
                <w:rStyle w:val="Hyperlink"/>
                <w:noProof/>
              </w:rPr>
              <w:t>9.</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Changes and Disputes</w:t>
            </w:r>
            <w:r w:rsidR="00851C1B">
              <w:rPr>
                <w:noProof/>
                <w:webHidden/>
              </w:rPr>
              <w:tab/>
            </w:r>
            <w:r w:rsidR="00851C1B">
              <w:rPr>
                <w:noProof/>
                <w:webHidden/>
              </w:rPr>
              <w:fldChar w:fldCharType="begin"/>
            </w:r>
            <w:r w:rsidR="00851C1B">
              <w:rPr>
                <w:noProof/>
                <w:webHidden/>
              </w:rPr>
              <w:instrText xml:space="preserve"> PAGEREF _Toc20388181 \h </w:instrText>
            </w:r>
            <w:r w:rsidR="00851C1B">
              <w:rPr>
                <w:noProof/>
                <w:webHidden/>
              </w:rPr>
            </w:r>
            <w:r w:rsidR="00851C1B">
              <w:rPr>
                <w:noProof/>
                <w:webHidden/>
              </w:rPr>
              <w:fldChar w:fldCharType="separate"/>
            </w:r>
            <w:r w:rsidR="00851C1B">
              <w:rPr>
                <w:noProof/>
                <w:webHidden/>
              </w:rPr>
              <w:t>14</w:t>
            </w:r>
            <w:r w:rsidR="00851C1B">
              <w:rPr>
                <w:noProof/>
                <w:webHidden/>
              </w:rPr>
              <w:fldChar w:fldCharType="end"/>
            </w:r>
          </w:hyperlink>
        </w:p>
        <w:p w14:paraId="30360270" w14:textId="77777777" w:rsidR="00851C1B" w:rsidRDefault="00992DD2">
          <w:pPr>
            <w:pStyle w:val="TOC3"/>
            <w:tabs>
              <w:tab w:val="left" w:pos="1100"/>
              <w:tab w:val="right" w:leader="dot" w:pos="9010"/>
            </w:tabs>
            <w:rPr>
              <w:rFonts w:asciiTheme="minorHAnsi" w:eastAsiaTheme="minorEastAsia" w:hAnsiTheme="minorHAnsi" w:cstheme="minorBidi"/>
              <w:noProof/>
              <w:snapToGrid/>
              <w:sz w:val="22"/>
              <w:szCs w:val="22"/>
              <w:lang w:eastAsia="en-GB"/>
            </w:rPr>
          </w:pPr>
          <w:hyperlink w:anchor="_Toc20388182" w:history="1">
            <w:r w:rsidR="00851C1B" w:rsidRPr="00BC0B2B">
              <w:rPr>
                <w:rStyle w:val="Hyperlink"/>
                <w:noProof/>
              </w:rPr>
              <w:t>5.1</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Changes</w:t>
            </w:r>
            <w:r w:rsidR="00851C1B">
              <w:rPr>
                <w:noProof/>
                <w:webHidden/>
              </w:rPr>
              <w:tab/>
            </w:r>
            <w:r w:rsidR="00851C1B">
              <w:rPr>
                <w:noProof/>
                <w:webHidden/>
              </w:rPr>
              <w:fldChar w:fldCharType="begin"/>
            </w:r>
            <w:r w:rsidR="00851C1B">
              <w:rPr>
                <w:noProof/>
                <w:webHidden/>
              </w:rPr>
              <w:instrText xml:space="preserve"> PAGEREF _Toc20388182 \h </w:instrText>
            </w:r>
            <w:r w:rsidR="00851C1B">
              <w:rPr>
                <w:noProof/>
                <w:webHidden/>
              </w:rPr>
            </w:r>
            <w:r w:rsidR="00851C1B">
              <w:rPr>
                <w:noProof/>
                <w:webHidden/>
              </w:rPr>
              <w:fldChar w:fldCharType="separate"/>
            </w:r>
            <w:r w:rsidR="00851C1B">
              <w:rPr>
                <w:noProof/>
                <w:webHidden/>
              </w:rPr>
              <w:t>14</w:t>
            </w:r>
            <w:r w:rsidR="00851C1B">
              <w:rPr>
                <w:noProof/>
                <w:webHidden/>
              </w:rPr>
              <w:fldChar w:fldCharType="end"/>
            </w:r>
          </w:hyperlink>
        </w:p>
        <w:p w14:paraId="230861D9" w14:textId="77777777" w:rsidR="00851C1B" w:rsidRDefault="00992DD2">
          <w:pPr>
            <w:pStyle w:val="TOC3"/>
            <w:tabs>
              <w:tab w:val="left" w:pos="1100"/>
              <w:tab w:val="right" w:leader="dot" w:pos="9010"/>
            </w:tabs>
            <w:rPr>
              <w:rFonts w:asciiTheme="minorHAnsi" w:eastAsiaTheme="minorEastAsia" w:hAnsiTheme="minorHAnsi" w:cstheme="minorBidi"/>
              <w:noProof/>
              <w:snapToGrid/>
              <w:sz w:val="22"/>
              <w:szCs w:val="22"/>
              <w:lang w:eastAsia="en-GB"/>
            </w:rPr>
          </w:pPr>
          <w:hyperlink w:anchor="_Toc20388183" w:history="1">
            <w:r w:rsidR="00851C1B" w:rsidRPr="00BC0B2B">
              <w:rPr>
                <w:rStyle w:val="Hyperlink"/>
                <w:noProof/>
              </w:rPr>
              <w:t>5.2</w:t>
            </w:r>
            <w:r w:rsidR="00851C1B">
              <w:rPr>
                <w:rFonts w:asciiTheme="minorHAnsi" w:eastAsiaTheme="minorEastAsia" w:hAnsiTheme="minorHAnsi" w:cstheme="minorBidi"/>
                <w:noProof/>
                <w:snapToGrid/>
                <w:sz w:val="22"/>
                <w:szCs w:val="22"/>
                <w:lang w:eastAsia="en-GB"/>
              </w:rPr>
              <w:tab/>
            </w:r>
            <w:r w:rsidR="00851C1B" w:rsidRPr="00BC0B2B">
              <w:rPr>
                <w:rStyle w:val="Hyperlink"/>
                <w:noProof/>
              </w:rPr>
              <w:t>Disputes</w:t>
            </w:r>
            <w:r w:rsidR="00851C1B">
              <w:rPr>
                <w:noProof/>
                <w:webHidden/>
              </w:rPr>
              <w:tab/>
            </w:r>
            <w:r w:rsidR="00851C1B">
              <w:rPr>
                <w:noProof/>
                <w:webHidden/>
              </w:rPr>
              <w:fldChar w:fldCharType="begin"/>
            </w:r>
            <w:r w:rsidR="00851C1B">
              <w:rPr>
                <w:noProof/>
                <w:webHidden/>
              </w:rPr>
              <w:instrText xml:space="preserve"> PAGEREF _Toc20388183 \h </w:instrText>
            </w:r>
            <w:r w:rsidR="00851C1B">
              <w:rPr>
                <w:noProof/>
                <w:webHidden/>
              </w:rPr>
            </w:r>
            <w:r w:rsidR="00851C1B">
              <w:rPr>
                <w:noProof/>
                <w:webHidden/>
              </w:rPr>
              <w:fldChar w:fldCharType="separate"/>
            </w:r>
            <w:r w:rsidR="00851C1B">
              <w:rPr>
                <w:noProof/>
                <w:webHidden/>
              </w:rPr>
              <w:t>14</w:t>
            </w:r>
            <w:r w:rsidR="00851C1B">
              <w:rPr>
                <w:noProof/>
                <w:webHidden/>
              </w:rPr>
              <w:fldChar w:fldCharType="end"/>
            </w:r>
          </w:hyperlink>
        </w:p>
        <w:p w14:paraId="139E8F89" w14:textId="77777777" w:rsidR="00DD4685" w:rsidRDefault="00DD4685">
          <w:r>
            <w:rPr>
              <w:b/>
              <w:bCs/>
              <w:noProof/>
            </w:rPr>
            <w:fldChar w:fldCharType="end"/>
          </w:r>
        </w:p>
      </w:sdtContent>
    </w:sdt>
    <w:p w14:paraId="44F53C1B" w14:textId="77777777" w:rsidR="009D07CB" w:rsidRDefault="009D07CB">
      <w:pPr>
        <w:widowControl/>
        <w:suppressAutoHyphens w:val="0"/>
        <w:rPr>
          <w:b/>
          <w:bCs/>
          <w:sz w:val="28"/>
          <w:szCs w:val="28"/>
        </w:rPr>
      </w:pPr>
      <w:r>
        <w:br w:type="page"/>
      </w:r>
    </w:p>
    <w:p w14:paraId="0F0FC0A3" w14:textId="77777777" w:rsidR="00E85E59" w:rsidRPr="004E0EB7" w:rsidRDefault="00E85E59" w:rsidP="00B54AAE">
      <w:pPr>
        <w:pStyle w:val="Heading1"/>
        <w:numPr>
          <w:ilvl w:val="0"/>
          <w:numId w:val="14"/>
        </w:numPr>
      </w:pPr>
      <w:bookmarkStart w:id="15" w:name="_Toc425166305"/>
      <w:bookmarkStart w:id="16" w:name="_Toc20388166"/>
      <w:r w:rsidRPr="00B54AAE">
        <w:lastRenderedPageBreak/>
        <w:t>Introduction</w:t>
      </w:r>
      <w:bookmarkEnd w:id="7"/>
      <w:bookmarkEnd w:id="8"/>
      <w:bookmarkEnd w:id="9"/>
      <w:bookmarkEnd w:id="10"/>
      <w:bookmarkEnd w:id="11"/>
      <w:bookmarkEnd w:id="12"/>
      <w:bookmarkEnd w:id="13"/>
      <w:bookmarkEnd w:id="15"/>
      <w:bookmarkEnd w:id="16"/>
    </w:p>
    <w:p w14:paraId="6A5DE51C" w14:textId="77777777" w:rsidR="00E85E59" w:rsidRPr="00E85E59" w:rsidRDefault="00E85E59" w:rsidP="00E85E59"/>
    <w:p w14:paraId="2F2B5058" w14:textId="77777777" w:rsidR="00E85E59" w:rsidRPr="00E85E59" w:rsidRDefault="00E85E59" w:rsidP="004E0EB7">
      <w:pPr>
        <w:pStyle w:val="Heading3"/>
      </w:pPr>
      <w:bookmarkStart w:id="17" w:name="_Toc224039660"/>
      <w:bookmarkStart w:id="18" w:name="_Toc301865626"/>
      <w:bookmarkStart w:id="19" w:name="_Toc301866437"/>
      <w:bookmarkStart w:id="20" w:name="_Toc303846831"/>
      <w:bookmarkStart w:id="21" w:name="_Toc377374931"/>
      <w:bookmarkStart w:id="22" w:name="_Toc425165713"/>
      <w:bookmarkStart w:id="23" w:name="_Toc425165762"/>
      <w:bookmarkStart w:id="24" w:name="_Toc425166306"/>
      <w:bookmarkStart w:id="25" w:name="_Toc20388167"/>
      <w:r w:rsidRPr="00E85E59">
        <w:t>1.1</w:t>
      </w:r>
      <w:r w:rsidRPr="00E85E59">
        <w:tab/>
        <w:t>Purpose</w:t>
      </w:r>
      <w:bookmarkEnd w:id="14"/>
      <w:bookmarkEnd w:id="17"/>
      <w:bookmarkEnd w:id="18"/>
      <w:bookmarkEnd w:id="19"/>
      <w:bookmarkEnd w:id="20"/>
      <w:bookmarkEnd w:id="21"/>
      <w:bookmarkEnd w:id="22"/>
      <w:bookmarkEnd w:id="23"/>
      <w:bookmarkEnd w:id="24"/>
      <w:bookmarkEnd w:id="25"/>
    </w:p>
    <w:p w14:paraId="2BB60C66" w14:textId="77777777" w:rsidR="00E85E59" w:rsidRPr="00BF5A7F" w:rsidRDefault="00664078" w:rsidP="000C4446">
      <w:r>
        <w:t>The Acceptable Use Policy applies, without exception, to all users of the IT facilities of London Metropolitan University. Be they staff, student or visitor and whether registered as a user with the University or not.</w:t>
      </w:r>
    </w:p>
    <w:p w14:paraId="02066306" w14:textId="77777777" w:rsidR="00E85E59" w:rsidRDefault="00E85E59" w:rsidP="00E85E59">
      <w:pPr>
        <w:pStyle w:val="Heading2"/>
        <w:tabs>
          <w:tab w:val="num" w:pos="-357"/>
        </w:tabs>
        <w:rPr>
          <w:sz w:val="24"/>
          <w:szCs w:val="24"/>
        </w:rPr>
      </w:pPr>
      <w:bookmarkStart w:id="26" w:name="_Toc224039662"/>
      <w:bookmarkStart w:id="27" w:name="_Toc301865628"/>
      <w:bookmarkStart w:id="28" w:name="_Toc301866439"/>
      <w:bookmarkStart w:id="29" w:name="_Toc303846832"/>
      <w:bookmarkStart w:id="30" w:name="_Toc377374932"/>
    </w:p>
    <w:p w14:paraId="4A1198F9" w14:textId="77777777" w:rsidR="00E85E59" w:rsidRPr="00E85E59" w:rsidRDefault="00E85E59" w:rsidP="004E0EB7">
      <w:pPr>
        <w:pStyle w:val="Heading3"/>
      </w:pPr>
      <w:bookmarkStart w:id="31" w:name="_Toc425165714"/>
      <w:bookmarkStart w:id="32" w:name="_Toc425165763"/>
      <w:bookmarkStart w:id="33" w:name="_Toc425166307"/>
      <w:bookmarkStart w:id="34" w:name="_Toc20388168"/>
      <w:r w:rsidRPr="00E85E59">
        <w:t>1.2</w:t>
      </w:r>
      <w:r w:rsidRPr="00E85E59">
        <w:tab/>
        <w:t>Scope</w:t>
      </w:r>
      <w:bookmarkEnd w:id="26"/>
      <w:bookmarkEnd w:id="27"/>
      <w:bookmarkEnd w:id="28"/>
      <w:bookmarkEnd w:id="29"/>
      <w:bookmarkEnd w:id="30"/>
      <w:bookmarkEnd w:id="31"/>
      <w:bookmarkEnd w:id="32"/>
      <w:bookmarkEnd w:id="33"/>
      <w:bookmarkEnd w:id="34"/>
    </w:p>
    <w:p w14:paraId="2026605A" w14:textId="77777777" w:rsidR="000C4446" w:rsidRDefault="00E85E59" w:rsidP="000C4446">
      <w:r w:rsidRPr="00BF5A7F">
        <w:t>Th</w:t>
      </w:r>
      <w:r w:rsidR="00D67D69">
        <w:t>is policy covers users’ activity while using any computing facility owned by the London Metropolitan University, whether those facilities may be located. (EG: Laptop taken home.)</w:t>
      </w:r>
    </w:p>
    <w:p w14:paraId="7B4B29A5" w14:textId="77777777" w:rsidR="00D67D69" w:rsidRDefault="00D67D69" w:rsidP="000C4446"/>
    <w:p w14:paraId="0D898DB0" w14:textId="77777777" w:rsidR="00D67D69" w:rsidRDefault="00D67D69" w:rsidP="000C4446">
      <w:r>
        <w:t xml:space="preserve">This policy covers users’ activities while using any other computing facilities used on London Metropolitan University property, including any personal IT equipment. </w:t>
      </w:r>
    </w:p>
    <w:p w14:paraId="710D5E65" w14:textId="77777777" w:rsidR="00D67D69" w:rsidRDefault="00D67D69" w:rsidP="000C4446"/>
    <w:p w14:paraId="28EB3125" w14:textId="77777777" w:rsidR="00D67D69" w:rsidRDefault="00D67D69" w:rsidP="000C4446">
      <w:r>
        <w:t>This policy covers users of London Metropolitan University who have connected remotely or wirelessly</w:t>
      </w:r>
      <w:r w:rsidR="00CF1457">
        <w:t xml:space="preserve"> on any campus, using any IT resource including the Internet. </w:t>
      </w:r>
    </w:p>
    <w:p w14:paraId="61C91402" w14:textId="77777777" w:rsidR="00CF1457" w:rsidRDefault="00CF1457" w:rsidP="000C4446"/>
    <w:p w14:paraId="7A117A13" w14:textId="77777777" w:rsidR="00CF1457" w:rsidRDefault="00CF1457" w:rsidP="000C4446">
      <w:r>
        <w:t xml:space="preserve">All users will be deemed to be familiar </w:t>
      </w:r>
      <w:proofErr w:type="gramStart"/>
      <w:r>
        <w:t>with, and</w:t>
      </w:r>
      <w:proofErr w:type="gramEnd"/>
      <w:r>
        <w:t xml:space="preserve"> bound by this policy.</w:t>
      </w:r>
    </w:p>
    <w:p w14:paraId="0B851395" w14:textId="77777777" w:rsidR="000C4446" w:rsidRDefault="000C4446" w:rsidP="000C4446"/>
    <w:p w14:paraId="0B4CE52B" w14:textId="77777777" w:rsidR="00E85E59" w:rsidRPr="00BF5A7F" w:rsidRDefault="00E85E59" w:rsidP="000C4446"/>
    <w:p w14:paraId="20005247" w14:textId="77777777" w:rsidR="00E85E59" w:rsidRPr="00E85E59" w:rsidRDefault="00E85E59" w:rsidP="004E0EB7">
      <w:pPr>
        <w:pStyle w:val="Heading3"/>
      </w:pPr>
      <w:bookmarkStart w:id="35" w:name="_Toc208682692"/>
      <w:bookmarkStart w:id="36" w:name="_Toc224039663"/>
      <w:bookmarkStart w:id="37" w:name="_Toc301865629"/>
      <w:bookmarkStart w:id="38" w:name="_Toc301866440"/>
      <w:bookmarkStart w:id="39" w:name="_Toc303846833"/>
      <w:bookmarkStart w:id="40" w:name="_Toc377374933"/>
      <w:bookmarkStart w:id="41" w:name="_Toc425165715"/>
      <w:bookmarkStart w:id="42" w:name="_Toc425165764"/>
      <w:bookmarkStart w:id="43" w:name="_Toc425166308"/>
      <w:bookmarkStart w:id="44" w:name="_Toc20388169"/>
      <w:r w:rsidRPr="00E85E59">
        <w:t>1.3</w:t>
      </w:r>
      <w:r w:rsidRPr="00E85E59">
        <w:tab/>
        <w:t>Distribution</w:t>
      </w:r>
      <w:bookmarkEnd w:id="35"/>
      <w:bookmarkEnd w:id="36"/>
      <w:bookmarkEnd w:id="37"/>
      <w:bookmarkEnd w:id="38"/>
      <w:bookmarkEnd w:id="39"/>
      <w:bookmarkEnd w:id="40"/>
      <w:bookmarkEnd w:id="41"/>
      <w:bookmarkEnd w:id="42"/>
      <w:bookmarkEnd w:id="43"/>
      <w:bookmarkEnd w:id="44"/>
    </w:p>
    <w:p w14:paraId="47613559" w14:textId="77777777" w:rsidR="00E85E59" w:rsidRPr="00BF5A7F" w:rsidRDefault="00E85E59" w:rsidP="00A45B67">
      <w:pPr>
        <w:pStyle w:val="NoSpacing"/>
      </w:pPr>
      <w:r w:rsidRPr="00BF5A7F">
        <w:t xml:space="preserve">This policy is available </w:t>
      </w:r>
    </w:p>
    <w:p w14:paraId="77488313" w14:textId="77777777" w:rsidR="00E85E59" w:rsidRDefault="00E85E59" w:rsidP="00E85E59">
      <w:pPr>
        <w:pStyle w:val="Heading2"/>
        <w:rPr>
          <w:sz w:val="24"/>
          <w:szCs w:val="24"/>
        </w:rPr>
      </w:pPr>
      <w:bookmarkStart w:id="45" w:name="_Toc224039664"/>
      <w:bookmarkStart w:id="46" w:name="_Toc301865630"/>
      <w:bookmarkStart w:id="47" w:name="_Toc301866441"/>
      <w:bookmarkStart w:id="48" w:name="_Toc303846834"/>
      <w:bookmarkStart w:id="49" w:name="_Toc377374934"/>
    </w:p>
    <w:p w14:paraId="33D977C0" w14:textId="77777777" w:rsidR="00E85E59" w:rsidRPr="00E85E59" w:rsidRDefault="00E85E59" w:rsidP="004E0EB7">
      <w:pPr>
        <w:pStyle w:val="Heading3"/>
      </w:pPr>
      <w:bookmarkStart w:id="50" w:name="_Toc425165716"/>
      <w:bookmarkStart w:id="51" w:name="_Toc425165765"/>
      <w:bookmarkStart w:id="52" w:name="_Toc425166309"/>
      <w:bookmarkStart w:id="53" w:name="_Toc20388170"/>
      <w:r w:rsidRPr="00E85E59">
        <w:t>1.4</w:t>
      </w:r>
      <w:r w:rsidRPr="00E85E59">
        <w:tab/>
        <w:t>Related Policies</w:t>
      </w:r>
      <w:bookmarkEnd w:id="45"/>
      <w:bookmarkEnd w:id="46"/>
      <w:bookmarkEnd w:id="47"/>
      <w:bookmarkEnd w:id="48"/>
      <w:bookmarkEnd w:id="49"/>
      <w:bookmarkEnd w:id="50"/>
      <w:bookmarkEnd w:id="51"/>
      <w:bookmarkEnd w:id="52"/>
      <w:bookmarkEnd w:id="53"/>
    </w:p>
    <w:p w14:paraId="38D3C05D" w14:textId="77777777" w:rsidR="004E0EB7" w:rsidRDefault="004E0EB7" w:rsidP="004E0EB7">
      <w:pPr>
        <w:widowControl/>
        <w:suppressAutoHyphens w:val="0"/>
        <w:rPr>
          <w:b/>
          <w:bCs/>
          <w:szCs w:val="24"/>
        </w:rPr>
      </w:pPr>
    </w:p>
    <w:p w14:paraId="2E8791CB" w14:textId="77777777" w:rsidR="00B54AAE" w:rsidRDefault="00B54AAE">
      <w:pPr>
        <w:widowControl/>
        <w:suppressAutoHyphens w:val="0"/>
        <w:rPr>
          <w:b/>
          <w:bCs/>
          <w:szCs w:val="24"/>
        </w:rPr>
      </w:pPr>
      <w:r>
        <w:rPr>
          <w:b/>
          <w:bCs/>
          <w:szCs w:val="24"/>
        </w:rPr>
        <w:br w:type="page"/>
      </w:r>
    </w:p>
    <w:p w14:paraId="21F0E2B4" w14:textId="77777777" w:rsidR="00B54AAE" w:rsidRDefault="00B54AAE" w:rsidP="004E0EB7">
      <w:pPr>
        <w:widowControl/>
        <w:suppressAutoHyphens w:val="0"/>
        <w:rPr>
          <w:b/>
          <w:bCs/>
          <w:szCs w:val="24"/>
        </w:rPr>
      </w:pPr>
    </w:p>
    <w:p w14:paraId="3135D195" w14:textId="77777777" w:rsidR="0027285B" w:rsidRDefault="0027285B" w:rsidP="0027285B">
      <w:bookmarkStart w:id="54" w:name="_Toc425166322"/>
    </w:p>
    <w:p w14:paraId="78B611D3" w14:textId="77777777" w:rsidR="0027285B" w:rsidRPr="0027285B" w:rsidRDefault="0027285B" w:rsidP="0027285B"/>
    <w:p w14:paraId="7BD6BD8A" w14:textId="77777777" w:rsidR="000C4446" w:rsidRDefault="00CF1457" w:rsidP="000F1ED5">
      <w:pPr>
        <w:pStyle w:val="Heading1"/>
      </w:pPr>
      <w:bookmarkStart w:id="55" w:name="_Toc20388171"/>
      <w:r>
        <w:t>Acceptable Use</w:t>
      </w:r>
      <w:bookmarkEnd w:id="55"/>
    </w:p>
    <w:p w14:paraId="78325AEE" w14:textId="77777777" w:rsidR="00CF1457" w:rsidRDefault="00CF1457" w:rsidP="00CF1457"/>
    <w:p w14:paraId="3ED749C8" w14:textId="77777777" w:rsidR="00CF1457" w:rsidRDefault="00CA4D89" w:rsidP="00CA4D89">
      <w:pPr>
        <w:pStyle w:val="Heading3"/>
        <w:numPr>
          <w:ilvl w:val="1"/>
          <w:numId w:val="13"/>
        </w:numPr>
      </w:pPr>
      <w:bookmarkStart w:id="56" w:name="_Toc20388172"/>
      <w:r>
        <w:t>Authorisation</w:t>
      </w:r>
      <w:bookmarkEnd w:id="56"/>
    </w:p>
    <w:p w14:paraId="64365818" w14:textId="77777777" w:rsidR="00CA4D89" w:rsidRDefault="00CA4D89" w:rsidP="00CA4D89"/>
    <w:p w14:paraId="13DE73C7" w14:textId="77777777" w:rsidR="00073996" w:rsidRDefault="00CA4D89" w:rsidP="00CA4D89">
      <w:r>
        <w:t xml:space="preserve">In order to use the IT Facilities of the University a person must first be properly registered to use any service. Use of the universities IT Facilities or IT Assets will be deemed </w:t>
      </w:r>
      <w:r w:rsidR="00073996">
        <w:t xml:space="preserve">to be in acceptance of this policy. </w:t>
      </w:r>
    </w:p>
    <w:p w14:paraId="580C51B6" w14:textId="77777777" w:rsidR="00073996" w:rsidRDefault="00073996" w:rsidP="00CA4D89"/>
    <w:p w14:paraId="6BA7AAB3" w14:textId="77777777" w:rsidR="00073996" w:rsidRDefault="00073996" w:rsidP="00CA4D89">
      <w:r>
        <w:t xml:space="preserve">It is expected that all users will adhere to the Universities password policy and guidelines, data protection policies in addition to all relevant university, regulatory and legal requirements. </w:t>
      </w:r>
    </w:p>
    <w:p w14:paraId="1A4C9156" w14:textId="77777777" w:rsidR="00073996" w:rsidRDefault="00073996" w:rsidP="00CA4D89"/>
    <w:p w14:paraId="067050E9" w14:textId="77777777" w:rsidR="00073996" w:rsidRDefault="00073996" w:rsidP="00073996">
      <w:pPr>
        <w:pStyle w:val="Heading3"/>
        <w:numPr>
          <w:ilvl w:val="1"/>
          <w:numId w:val="13"/>
        </w:numPr>
      </w:pPr>
      <w:bookmarkStart w:id="57" w:name="_Toc20388173"/>
      <w:r>
        <w:t>Privacy and Monitoring</w:t>
      </w:r>
      <w:bookmarkEnd w:id="57"/>
    </w:p>
    <w:p w14:paraId="1DDCA4C2" w14:textId="77777777" w:rsidR="00073996" w:rsidRDefault="00073996" w:rsidP="00073996">
      <w:pPr>
        <w:pStyle w:val="Heading3"/>
      </w:pPr>
    </w:p>
    <w:p w14:paraId="34A95D1A" w14:textId="77777777" w:rsidR="00073996" w:rsidRDefault="00073996" w:rsidP="00073996">
      <w:r>
        <w:t xml:space="preserve">The University recognises that individuals may conduct personal use of email and the internet. </w:t>
      </w:r>
      <w:proofErr w:type="gramStart"/>
      <w:r>
        <w:t>However</w:t>
      </w:r>
      <w:proofErr w:type="gramEnd"/>
      <w:r>
        <w:t xml:space="preserve"> this must be kept to a minimum and be compliant with the various university and legislative requirements. If there is any doubt, please take the conservative approach and assume that it is not compliant to the university procedures and guidelines. </w:t>
      </w:r>
    </w:p>
    <w:p w14:paraId="606571E1" w14:textId="77777777" w:rsidR="00073996" w:rsidRDefault="00073996" w:rsidP="00073996"/>
    <w:p w14:paraId="2ECEB0DC" w14:textId="77777777" w:rsidR="0019035B" w:rsidRDefault="00073996" w:rsidP="00073996">
      <w:r>
        <w:t xml:space="preserve">The University reserves the right to revoke </w:t>
      </w:r>
      <w:r w:rsidR="0019035B">
        <w:t xml:space="preserve">any authorisations and permissions, if, in the judgement of the University, these facilities are abused. </w:t>
      </w:r>
    </w:p>
    <w:p w14:paraId="4A63C5E2" w14:textId="77777777" w:rsidR="0019035B" w:rsidRDefault="0019035B" w:rsidP="00073996"/>
    <w:p w14:paraId="70AB4065" w14:textId="77777777" w:rsidR="004C7ABA" w:rsidRDefault="0019035B" w:rsidP="00073996">
      <w:r>
        <w:t xml:space="preserve">The University reserves the right for appropriately authorised staff to examine any data, including personal data, held on University systems when operationally necessary. For Example, to give access to a private account </w:t>
      </w:r>
      <w:r w:rsidR="004C7ABA">
        <w:t>to a line manager or colleague. Certain staff within the University have been authorised to examine files, emails, data within individual accounts and network traffic, but will only do so when operationally necessary.</w:t>
      </w:r>
    </w:p>
    <w:p w14:paraId="74D265F6" w14:textId="77777777" w:rsidR="004C7ABA" w:rsidRDefault="004C7ABA" w:rsidP="00073996"/>
    <w:p w14:paraId="469E9790" w14:textId="77777777" w:rsidR="004C7ABA" w:rsidRDefault="004C7ABA" w:rsidP="00073996">
      <w:r>
        <w:t xml:space="preserve">The University reserves the right to monitor email, telephone and any other electronic communication, whether stored or in transit, in line with relevant regulatory and legislative rules/laws. </w:t>
      </w:r>
    </w:p>
    <w:p w14:paraId="4D293944" w14:textId="77777777" w:rsidR="004C7ABA" w:rsidRDefault="004C7ABA" w:rsidP="00073996"/>
    <w:p w14:paraId="4186CA42" w14:textId="77777777" w:rsidR="00D4077F" w:rsidRDefault="004C7ABA" w:rsidP="00073996">
      <w:r>
        <w:t xml:space="preserve">Reasons for such monitoring to </w:t>
      </w:r>
      <w:r w:rsidR="009C7322">
        <w:t>include:</w:t>
      </w:r>
    </w:p>
    <w:p w14:paraId="6B0A16AC" w14:textId="77777777" w:rsidR="00D4077F" w:rsidRDefault="00D4077F" w:rsidP="00073996"/>
    <w:p w14:paraId="7D14B65F" w14:textId="77777777" w:rsidR="00D4077F" w:rsidRDefault="00D4077F" w:rsidP="00D4077F">
      <w:pPr>
        <w:pStyle w:val="ListParagraph"/>
        <w:numPr>
          <w:ilvl w:val="0"/>
          <w:numId w:val="16"/>
        </w:numPr>
      </w:pPr>
      <w:r>
        <w:t>Establishing the existence of facts, such as to provide evidence of commercial transactions in cases of dispute.</w:t>
      </w:r>
    </w:p>
    <w:p w14:paraId="1EA55E50" w14:textId="77777777" w:rsidR="00CA4D89" w:rsidRDefault="00D4077F" w:rsidP="00D4077F">
      <w:pPr>
        <w:pStyle w:val="ListParagraph"/>
        <w:numPr>
          <w:ilvl w:val="0"/>
          <w:numId w:val="16"/>
        </w:numPr>
      </w:pPr>
      <w:r>
        <w:t>Investigate or detect unauthorised use of University’s telecommunications systems and ensure compliance with this policy or other University policies.</w:t>
      </w:r>
    </w:p>
    <w:p w14:paraId="491FEA05" w14:textId="77777777" w:rsidR="00D4077F" w:rsidRDefault="00D4077F" w:rsidP="00D4077F">
      <w:pPr>
        <w:pStyle w:val="ListParagraph"/>
        <w:numPr>
          <w:ilvl w:val="0"/>
          <w:numId w:val="16"/>
        </w:numPr>
      </w:pPr>
      <w:r>
        <w:t>Ensure operational effectiveness of services</w:t>
      </w:r>
      <w:r w:rsidR="009C7322">
        <w:t xml:space="preserve"> such as to detect viruses or other threats to data and systems.</w:t>
      </w:r>
    </w:p>
    <w:p w14:paraId="68619C2E" w14:textId="77777777" w:rsidR="009C7322" w:rsidRDefault="009C7322" w:rsidP="00D4077F">
      <w:pPr>
        <w:pStyle w:val="ListParagraph"/>
        <w:numPr>
          <w:ilvl w:val="0"/>
          <w:numId w:val="16"/>
        </w:numPr>
      </w:pPr>
      <w:r>
        <w:t>Prevent a breach of the law or investigate a suspected breach of the law, the University’s policies and contracts.</w:t>
      </w:r>
    </w:p>
    <w:p w14:paraId="03B16CCD" w14:textId="77777777" w:rsidR="009C7322" w:rsidRDefault="009C7322" w:rsidP="00D4077F">
      <w:pPr>
        <w:pStyle w:val="ListParagraph"/>
        <w:numPr>
          <w:ilvl w:val="0"/>
          <w:numId w:val="16"/>
        </w:numPr>
      </w:pPr>
      <w:r>
        <w:t>Monitor standards and ensure effective quality control.</w:t>
      </w:r>
    </w:p>
    <w:p w14:paraId="48A7B104" w14:textId="77777777" w:rsidR="009C7322" w:rsidRDefault="009C7322" w:rsidP="009C7322"/>
    <w:p w14:paraId="643EB74D" w14:textId="77777777" w:rsidR="009C7322" w:rsidRDefault="009C7322" w:rsidP="009C7322">
      <w:r>
        <w:t xml:space="preserve">University staff that have access to personal data (defined under the </w:t>
      </w:r>
      <w:r w:rsidR="007B4D4F">
        <w:t xml:space="preserve">Data Protection </w:t>
      </w:r>
      <w:r w:rsidR="007B4D4F">
        <w:lastRenderedPageBreak/>
        <w:t xml:space="preserve">Act and the General Data Protection Act) are responsible for ensuring that such data is not made available to unauthorised individuals and that the security of all systems used to access and manage this data is not compromised. </w:t>
      </w:r>
    </w:p>
    <w:p w14:paraId="550ADE70" w14:textId="77777777" w:rsidR="007B4D4F" w:rsidRDefault="007B4D4F" w:rsidP="009C7322"/>
    <w:p w14:paraId="1D0443E2" w14:textId="77777777" w:rsidR="007B4D4F" w:rsidRDefault="007B4D4F" w:rsidP="009C7322">
      <w:r>
        <w:t xml:space="preserve">The University has the right to access the personal account after a staff member leaves for operational reasons and for the continuing delivery of services. </w:t>
      </w:r>
    </w:p>
    <w:p w14:paraId="47ACFCBC" w14:textId="77777777" w:rsidR="007B4D4F" w:rsidRDefault="007B4D4F" w:rsidP="009C7322"/>
    <w:p w14:paraId="526884A6" w14:textId="77777777" w:rsidR="007B4D4F" w:rsidRDefault="007B4D4F" w:rsidP="009C7322">
      <w:r>
        <w:t>Users of IT Facilities should be aware that the University conducts random monitoring of communications, regardless of whether the use is business or personal.</w:t>
      </w:r>
    </w:p>
    <w:p w14:paraId="0EB5B1AB" w14:textId="77777777" w:rsidR="007B4D4F" w:rsidRDefault="007B4D4F" w:rsidP="009C7322"/>
    <w:p w14:paraId="6B6DAD08" w14:textId="77777777" w:rsidR="007B4D4F" w:rsidRDefault="007B4D4F" w:rsidP="009C7322">
      <w:r>
        <w:t>Monitoring may involve:</w:t>
      </w:r>
    </w:p>
    <w:p w14:paraId="699409C9" w14:textId="77777777" w:rsidR="007B4D4F" w:rsidRDefault="007B4D4F" w:rsidP="009C7322"/>
    <w:p w14:paraId="6F4843DA" w14:textId="77777777" w:rsidR="007B4D4F" w:rsidRDefault="007B4D4F" w:rsidP="009C7322">
      <w:r>
        <w:t>-Examining the number and frequency of emails.</w:t>
      </w:r>
    </w:p>
    <w:p w14:paraId="425FE83F" w14:textId="77777777" w:rsidR="00D34359" w:rsidRDefault="007B4D4F" w:rsidP="009C7322">
      <w:r>
        <w:t xml:space="preserve">-Viewing sent or received emails from a particular </w:t>
      </w:r>
      <w:r w:rsidR="00D34359">
        <w:t>address or domain on any server.</w:t>
      </w:r>
    </w:p>
    <w:p w14:paraId="745DA202" w14:textId="77777777" w:rsidR="00D34359" w:rsidRDefault="00D34359" w:rsidP="009C7322">
      <w:r>
        <w:t>-Examining logs of IT facility usage</w:t>
      </w:r>
    </w:p>
    <w:p w14:paraId="471D20DC" w14:textId="77777777" w:rsidR="00D34359" w:rsidRDefault="00D34359" w:rsidP="009C7322">
      <w:r>
        <w:t xml:space="preserve">-Monitoring the amount of time spent on the internet and the destination and/or content of data contained. </w:t>
      </w:r>
    </w:p>
    <w:p w14:paraId="438274C2" w14:textId="77777777" w:rsidR="00D34359" w:rsidRDefault="00D34359" w:rsidP="009C7322">
      <w:r>
        <w:t>-Sites visited and information downloaded.</w:t>
      </w:r>
    </w:p>
    <w:p w14:paraId="7EC61256" w14:textId="77777777" w:rsidR="00D34359" w:rsidRDefault="00D34359" w:rsidP="009C7322">
      <w:r>
        <w:t>-Cloud services and their use.</w:t>
      </w:r>
    </w:p>
    <w:p w14:paraId="0FBA619C" w14:textId="77777777" w:rsidR="00D34359" w:rsidRDefault="00D34359" w:rsidP="009C7322"/>
    <w:p w14:paraId="7C3F5497" w14:textId="77777777" w:rsidR="00C35AEE" w:rsidRDefault="00D34359" w:rsidP="009C7322">
      <w:r>
        <w:t xml:space="preserve">Where abuse is </w:t>
      </w:r>
      <w:r w:rsidR="00C35AEE">
        <w:t>suspected,</w:t>
      </w:r>
      <w:r>
        <w:t xml:space="preserve"> especially in criminal activity and/or gross misconduct, the University may conduct a more detailed investigation involving further monitoring and examination of stored data, including deleted data, held on servers</w:t>
      </w:r>
      <w:r w:rsidR="00C35AEE">
        <w:t>/disks/drives or other historical/archived data.</w:t>
      </w:r>
    </w:p>
    <w:p w14:paraId="249D2A88" w14:textId="77777777" w:rsidR="007B4D4F" w:rsidRDefault="007B4D4F" w:rsidP="009C7322">
      <w:r>
        <w:t xml:space="preserve"> </w:t>
      </w:r>
    </w:p>
    <w:p w14:paraId="3C7558AE" w14:textId="77777777" w:rsidR="00C35AEE" w:rsidRDefault="00C35AEE" w:rsidP="009C7322">
      <w:r>
        <w:t xml:space="preserve">Where disclosure of information is requested by Police or other law enforcement, the request, where possible, will be handled by the University Secretary or other authorised person. Other than in emergency situations, all requests for personal data will be subject to authority from the Director of IT and/or The University Secretary. </w:t>
      </w:r>
    </w:p>
    <w:p w14:paraId="7CD7EAAB" w14:textId="77777777" w:rsidR="00C35AEE" w:rsidRDefault="00C35AEE" w:rsidP="009C7322"/>
    <w:p w14:paraId="02528BB3" w14:textId="77777777" w:rsidR="00C35AEE" w:rsidRDefault="00272273" w:rsidP="00272273">
      <w:pPr>
        <w:pStyle w:val="Heading3"/>
        <w:numPr>
          <w:ilvl w:val="1"/>
          <w:numId w:val="13"/>
        </w:numPr>
      </w:pPr>
      <w:bookmarkStart w:id="58" w:name="_Toc20388174"/>
      <w:r>
        <w:t>Definitions of Unacceptable &amp; Acceptable Usage</w:t>
      </w:r>
      <w:bookmarkEnd w:id="58"/>
    </w:p>
    <w:p w14:paraId="33C602F5" w14:textId="77777777" w:rsidR="00272273" w:rsidRDefault="00272273" w:rsidP="00272273"/>
    <w:p w14:paraId="4E6C3BEF" w14:textId="77777777" w:rsidR="00272273" w:rsidRDefault="00272273" w:rsidP="00272273">
      <w:r>
        <w:t>Unacceptable use of University IT equipment, services and network may be summarised as:</w:t>
      </w:r>
    </w:p>
    <w:p w14:paraId="294422E2" w14:textId="77777777" w:rsidR="00272273" w:rsidRDefault="00272273" w:rsidP="00272273">
      <w:pPr>
        <w:pStyle w:val="ListParagraph"/>
        <w:numPr>
          <w:ilvl w:val="0"/>
          <w:numId w:val="16"/>
        </w:numPr>
      </w:pPr>
      <w:r>
        <w:t>The following general behaviour in IT Studios and Open-Area access.</w:t>
      </w:r>
    </w:p>
    <w:p w14:paraId="35FAF086" w14:textId="77777777" w:rsidR="001929B8" w:rsidRDefault="00272273" w:rsidP="00272273">
      <w:pPr>
        <w:pStyle w:val="ListParagraph"/>
        <w:numPr>
          <w:ilvl w:val="1"/>
          <w:numId w:val="16"/>
        </w:numPr>
      </w:pPr>
      <w:r>
        <w:t xml:space="preserve">You must not consume food or drink </w:t>
      </w:r>
      <w:r w:rsidR="00F37022">
        <w:t>near</w:t>
      </w:r>
      <w:r>
        <w:t xml:space="preserve"> IT equipment</w:t>
      </w:r>
      <w:r w:rsidR="001929B8">
        <w:t xml:space="preserve">, as this may damage the equipment and encourages vermin. </w:t>
      </w:r>
    </w:p>
    <w:p w14:paraId="76EA15E6" w14:textId="77777777" w:rsidR="001929B8" w:rsidRDefault="001929B8" w:rsidP="00272273">
      <w:pPr>
        <w:pStyle w:val="ListParagraph"/>
        <w:numPr>
          <w:ilvl w:val="1"/>
          <w:numId w:val="16"/>
        </w:numPr>
      </w:pPr>
      <w:r>
        <w:t xml:space="preserve">Excessive noise, talking and loud music, that may interfere with </w:t>
      </w:r>
      <w:proofErr w:type="gramStart"/>
      <w:r>
        <w:t>others</w:t>
      </w:r>
      <w:proofErr w:type="gramEnd"/>
      <w:r>
        <w:t xml:space="preserve"> users is prohibited.</w:t>
      </w:r>
    </w:p>
    <w:p w14:paraId="0D5714DD" w14:textId="77777777" w:rsidR="001929B8" w:rsidRDefault="001929B8" w:rsidP="00272273">
      <w:pPr>
        <w:pStyle w:val="ListParagraph"/>
        <w:numPr>
          <w:ilvl w:val="1"/>
          <w:numId w:val="16"/>
        </w:numPr>
      </w:pPr>
      <w:r>
        <w:t>All mobile phones must be switched off, or made silent, before entering an IT Area as they can interfere with other users.</w:t>
      </w:r>
    </w:p>
    <w:p w14:paraId="60C822F2" w14:textId="77777777" w:rsidR="00563916" w:rsidRDefault="001929B8" w:rsidP="00272273">
      <w:pPr>
        <w:pStyle w:val="ListParagraph"/>
        <w:numPr>
          <w:ilvl w:val="1"/>
          <w:numId w:val="16"/>
        </w:numPr>
      </w:pPr>
      <w:r>
        <w:t>Unreasonable behaviour</w:t>
      </w:r>
      <w:r w:rsidR="00563916">
        <w:t>, such as gaming, chats or non-educational purposes, is not acceptable.</w:t>
      </w:r>
    </w:p>
    <w:p w14:paraId="78F194BF" w14:textId="77777777" w:rsidR="00563916" w:rsidRDefault="00563916" w:rsidP="00272273">
      <w:pPr>
        <w:pStyle w:val="ListParagraph"/>
        <w:numPr>
          <w:ilvl w:val="1"/>
          <w:numId w:val="16"/>
        </w:numPr>
      </w:pPr>
      <w:r>
        <w:t xml:space="preserve">Unruly or threatening behaviour between students or towards staff is considered a serious offense. </w:t>
      </w:r>
    </w:p>
    <w:p w14:paraId="66E466BC" w14:textId="77777777" w:rsidR="00563916" w:rsidRDefault="00A608DF" w:rsidP="00563916">
      <w:pPr>
        <w:pStyle w:val="ListParagraph"/>
        <w:numPr>
          <w:ilvl w:val="0"/>
          <w:numId w:val="16"/>
        </w:numPr>
      </w:pPr>
      <w:r>
        <w:t xml:space="preserve">Unacceptable - </w:t>
      </w:r>
      <w:r w:rsidR="00563916">
        <w:t>Specific to the use of IT Facilities</w:t>
      </w:r>
    </w:p>
    <w:p w14:paraId="6346242B" w14:textId="77777777" w:rsidR="00272273" w:rsidRDefault="00563916" w:rsidP="00563916">
      <w:pPr>
        <w:pStyle w:val="ListParagraph"/>
        <w:numPr>
          <w:ilvl w:val="1"/>
          <w:numId w:val="16"/>
        </w:numPr>
      </w:pPr>
      <w:r>
        <w:t xml:space="preserve">Creating, displaying or transmitting material that is </w:t>
      </w:r>
      <w:r w:rsidR="00A608DF">
        <w:t xml:space="preserve">inappropriate, </w:t>
      </w:r>
      <w:r>
        <w:t xml:space="preserve">fraudulent, </w:t>
      </w:r>
      <w:r w:rsidR="00A608DF">
        <w:t>offensive or otherwise unlawful.</w:t>
      </w:r>
    </w:p>
    <w:p w14:paraId="14E678B7" w14:textId="77777777" w:rsidR="00A608DF" w:rsidRDefault="00A608DF" w:rsidP="00563916">
      <w:pPr>
        <w:pStyle w:val="ListParagraph"/>
        <w:numPr>
          <w:ilvl w:val="1"/>
          <w:numId w:val="16"/>
        </w:numPr>
      </w:pPr>
      <w:r>
        <w:t>Threatening, intimidating or harassing of staff or students.</w:t>
      </w:r>
    </w:p>
    <w:p w14:paraId="68B1B7F4" w14:textId="77777777" w:rsidR="00A608DF" w:rsidRDefault="00A608DF" w:rsidP="00563916">
      <w:pPr>
        <w:pStyle w:val="ListParagraph"/>
        <w:numPr>
          <w:ilvl w:val="1"/>
          <w:numId w:val="16"/>
        </w:numPr>
      </w:pPr>
      <w:r>
        <w:lastRenderedPageBreak/>
        <w:t>Using obscene, profane or abusive language.</w:t>
      </w:r>
    </w:p>
    <w:p w14:paraId="04EB03AE" w14:textId="77777777" w:rsidR="00A608DF" w:rsidRDefault="005F322C" w:rsidP="00563916">
      <w:pPr>
        <w:pStyle w:val="ListParagraph"/>
        <w:numPr>
          <w:ilvl w:val="1"/>
          <w:numId w:val="16"/>
        </w:numPr>
      </w:pPr>
      <w:r>
        <w:t xml:space="preserve">Intellectual Property Rights infringement, including copyright, trademark, patent, design and moral rights. </w:t>
      </w:r>
    </w:p>
    <w:p w14:paraId="46F8DD3D" w14:textId="77777777" w:rsidR="005F322C" w:rsidRDefault="005F322C" w:rsidP="00563916">
      <w:pPr>
        <w:pStyle w:val="ListParagraph"/>
        <w:numPr>
          <w:ilvl w:val="1"/>
          <w:numId w:val="16"/>
        </w:numPr>
      </w:pPr>
      <w:r>
        <w:t>Defamation (genuine scholarly criticism is permitted)</w:t>
      </w:r>
    </w:p>
    <w:p w14:paraId="544C3B62" w14:textId="77777777" w:rsidR="005F322C" w:rsidRDefault="005F322C" w:rsidP="00563916">
      <w:pPr>
        <w:pStyle w:val="ListParagraph"/>
        <w:numPr>
          <w:ilvl w:val="1"/>
          <w:numId w:val="16"/>
        </w:numPr>
      </w:pPr>
      <w:r>
        <w:t>Unsolicited advertising, including spamming.</w:t>
      </w:r>
    </w:p>
    <w:p w14:paraId="0B8F10B9" w14:textId="77777777" w:rsidR="00AA34C7" w:rsidRDefault="005F322C" w:rsidP="00563916">
      <w:pPr>
        <w:pStyle w:val="ListParagraph"/>
        <w:numPr>
          <w:ilvl w:val="1"/>
          <w:numId w:val="16"/>
        </w:numPr>
      </w:pPr>
      <w:r>
        <w:t xml:space="preserve">Sending emails that purport to come from an individual </w:t>
      </w:r>
      <w:r w:rsidR="00AA34C7">
        <w:t xml:space="preserve">or organisation </w:t>
      </w:r>
      <w:r>
        <w:t>other than the person actually sending the email</w:t>
      </w:r>
      <w:r w:rsidR="00AA34C7">
        <w:t>.</w:t>
      </w:r>
    </w:p>
    <w:p w14:paraId="0A812ED3" w14:textId="77777777" w:rsidR="00AA34C7" w:rsidRDefault="00AA34C7" w:rsidP="00563916">
      <w:pPr>
        <w:pStyle w:val="ListParagraph"/>
        <w:numPr>
          <w:ilvl w:val="1"/>
          <w:numId w:val="16"/>
        </w:numPr>
      </w:pPr>
      <w:r>
        <w:t>Attempts to break into or damage computer systems or data held thereon.</w:t>
      </w:r>
    </w:p>
    <w:p w14:paraId="18EE0F2D" w14:textId="77777777" w:rsidR="00AA34C7" w:rsidRDefault="00AA34C7" w:rsidP="00563916">
      <w:pPr>
        <w:pStyle w:val="ListParagraph"/>
        <w:numPr>
          <w:ilvl w:val="1"/>
          <w:numId w:val="16"/>
        </w:numPr>
      </w:pPr>
      <w:r>
        <w:t>Actions or inactions, which intentionally or unintentionally aid the distribution of computer viruses, malware or other malicious software.</w:t>
      </w:r>
    </w:p>
    <w:p w14:paraId="7FC8DF80" w14:textId="77777777" w:rsidR="00AA34C7" w:rsidRDefault="00AA34C7" w:rsidP="00563916">
      <w:pPr>
        <w:pStyle w:val="ListParagraph"/>
        <w:numPr>
          <w:ilvl w:val="1"/>
          <w:numId w:val="16"/>
        </w:numPr>
      </w:pPr>
      <w:r>
        <w:t>Attempts to access or actions intended to facilitate access to computers for which the individual is not authorised.</w:t>
      </w:r>
    </w:p>
    <w:p w14:paraId="58332D81" w14:textId="77777777" w:rsidR="003F56AC" w:rsidRDefault="003F56AC" w:rsidP="00563916">
      <w:pPr>
        <w:pStyle w:val="ListParagraph"/>
        <w:numPr>
          <w:ilvl w:val="1"/>
          <w:numId w:val="16"/>
        </w:numPr>
      </w:pPr>
      <w:r>
        <w:t>Using the university network for unauthorised access.</w:t>
      </w:r>
    </w:p>
    <w:p w14:paraId="3E659F61" w14:textId="77777777" w:rsidR="003F56AC" w:rsidRDefault="003F56AC" w:rsidP="00563916">
      <w:pPr>
        <w:pStyle w:val="ListParagraph"/>
        <w:numPr>
          <w:ilvl w:val="1"/>
          <w:numId w:val="16"/>
        </w:numPr>
      </w:pPr>
      <w:r>
        <w:t>Unauthorised resale of University or Janet services or information.</w:t>
      </w:r>
    </w:p>
    <w:p w14:paraId="5BA02D32" w14:textId="77777777" w:rsidR="003F56AC" w:rsidRDefault="003F56AC" w:rsidP="00563916">
      <w:pPr>
        <w:pStyle w:val="ListParagraph"/>
        <w:numPr>
          <w:ilvl w:val="1"/>
          <w:numId w:val="16"/>
        </w:numPr>
      </w:pPr>
      <w:r>
        <w:t>Using IT Facilities to conduct personal commercial business or trading.</w:t>
      </w:r>
    </w:p>
    <w:p w14:paraId="2AF2B2A7" w14:textId="77777777" w:rsidR="009433E5" w:rsidRDefault="003F56AC" w:rsidP="00563916">
      <w:pPr>
        <w:pStyle w:val="ListParagraph"/>
        <w:numPr>
          <w:ilvl w:val="1"/>
          <w:numId w:val="16"/>
        </w:numPr>
      </w:pPr>
      <w:r>
        <w:t xml:space="preserve">Connecting </w:t>
      </w:r>
      <w:r w:rsidR="00200EEF">
        <w:t>devices, which</w:t>
      </w:r>
      <w:r>
        <w:t xml:space="preserve"> have not been explicitly approved/sanctioned by the IT Department </w:t>
      </w:r>
      <w:r w:rsidR="009433E5">
        <w:t xml:space="preserve">to University equipment for any purpose, including printing. </w:t>
      </w:r>
    </w:p>
    <w:p w14:paraId="3BBC8231" w14:textId="77777777" w:rsidR="009433E5" w:rsidRDefault="009433E5" w:rsidP="009433E5">
      <w:pPr>
        <w:ind w:left="720"/>
      </w:pPr>
      <w:r>
        <w:t xml:space="preserve">Any other conduct, which may discredit or harm the University, university staff or the IT </w:t>
      </w:r>
      <w:r w:rsidR="00EC24FC">
        <w:t>facilities</w:t>
      </w:r>
      <w:r>
        <w:t xml:space="preserve"> or is intentionally unethical and/or illegal even if not specifically listed in this policy, is deemed unacceptable. This will be decided by the relevant University authorities.</w:t>
      </w:r>
    </w:p>
    <w:p w14:paraId="49DB5D41" w14:textId="77777777" w:rsidR="009433E5" w:rsidRDefault="009433E5" w:rsidP="009433E5"/>
    <w:p w14:paraId="7F955D14" w14:textId="77777777" w:rsidR="005F322C" w:rsidRDefault="009433E5" w:rsidP="009433E5">
      <w:r>
        <w:t xml:space="preserve">These restrictions should be taken to mean, for example, that the following activities </w:t>
      </w:r>
      <w:r w:rsidR="00200EEF">
        <w:t>would</w:t>
      </w:r>
      <w:r>
        <w:t xml:space="preserve"> normally be considered to be a </w:t>
      </w:r>
      <w:r w:rsidR="00EC24FC">
        <w:t>breach of</w:t>
      </w:r>
      <w:r w:rsidR="00200EEF">
        <w:t xml:space="preserve"> this policy:</w:t>
      </w:r>
    </w:p>
    <w:p w14:paraId="2020B9A2" w14:textId="77777777" w:rsidR="00200EEF" w:rsidRDefault="00200EEF" w:rsidP="00200EEF">
      <w:pPr>
        <w:pStyle w:val="ListParagraph"/>
        <w:numPr>
          <w:ilvl w:val="0"/>
          <w:numId w:val="16"/>
        </w:numPr>
      </w:pPr>
      <w:r>
        <w:t xml:space="preserve">Downloading, distributing, or storage of music, video, film or other material, for which you do not hold a valid license or valid permission from the copyright holder. </w:t>
      </w:r>
    </w:p>
    <w:p w14:paraId="227E4EF3" w14:textId="77777777" w:rsidR="00200EEF" w:rsidRDefault="00200EEF" w:rsidP="00200EEF">
      <w:pPr>
        <w:pStyle w:val="ListParagraph"/>
        <w:numPr>
          <w:ilvl w:val="0"/>
          <w:numId w:val="16"/>
        </w:numPr>
      </w:pPr>
      <w:r>
        <w:t xml:space="preserve">Distribution or storage by any means of pirated software. </w:t>
      </w:r>
    </w:p>
    <w:p w14:paraId="62A7849C" w14:textId="77777777" w:rsidR="00200EEF" w:rsidRDefault="00200EEF" w:rsidP="00200EEF">
      <w:pPr>
        <w:pStyle w:val="ListParagraph"/>
        <w:numPr>
          <w:ilvl w:val="0"/>
          <w:numId w:val="16"/>
        </w:numPr>
      </w:pPr>
      <w:r>
        <w:t>Connecting an unauthorised d</w:t>
      </w:r>
      <w:r w:rsidR="00200648">
        <w:t xml:space="preserve">evice to the university network, a device not configured to comply with this policy or any other regulations and guidelines relating to security, purchasing policy or acceptable use. </w:t>
      </w:r>
    </w:p>
    <w:p w14:paraId="4F9747B0" w14:textId="77777777" w:rsidR="00200648" w:rsidRDefault="00200648" w:rsidP="00200EEF">
      <w:pPr>
        <w:pStyle w:val="ListParagraph"/>
        <w:numPr>
          <w:ilvl w:val="0"/>
          <w:numId w:val="16"/>
        </w:numPr>
      </w:pPr>
      <w:r>
        <w:t>Circumventing of network access controls</w:t>
      </w:r>
    </w:p>
    <w:p w14:paraId="79A5FDCE" w14:textId="77777777" w:rsidR="00200648" w:rsidRDefault="00200648" w:rsidP="00200EEF">
      <w:pPr>
        <w:pStyle w:val="ListParagraph"/>
        <w:numPr>
          <w:ilvl w:val="0"/>
          <w:numId w:val="16"/>
        </w:numPr>
      </w:pPr>
      <w:r>
        <w:t>Monitoring or interception of network traffic without permission.</w:t>
      </w:r>
    </w:p>
    <w:p w14:paraId="7006C3FD" w14:textId="77777777" w:rsidR="00200648" w:rsidRDefault="00200648" w:rsidP="00200EEF">
      <w:pPr>
        <w:pStyle w:val="ListParagraph"/>
        <w:numPr>
          <w:ilvl w:val="0"/>
          <w:numId w:val="16"/>
        </w:numPr>
      </w:pPr>
      <w:r>
        <w:t xml:space="preserve">Probing for the security weaknesses of systems by methods such as port scanning without permission. </w:t>
      </w:r>
    </w:p>
    <w:p w14:paraId="4E99C05D" w14:textId="77777777" w:rsidR="00200648" w:rsidRDefault="00200648" w:rsidP="00200EEF">
      <w:pPr>
        <w:pStyle w:val="ListParagraph"/>
        <w:numPr>
          <w:ilvl w:val="0"/>
          <w:numId w:val="16"/>
        </w:numPr>
      </w:pPr>
      <w:r>
        <w:t xml:space="preserve">Associating any device to network access points, including wireless, to which you are not authorised. </w:t>
      </w:r>
    </w:p>
    <w:p w14:paraId="7B758892" w14:textId="77777777" w:rsidR="00E546FE" w:rsidRDefault="00200648" w:rsidP="00200EEF">
      <w:pPr>
        <w:pStyle w:val="ListParagraph"/>
        <w:numPr>
          <w:ilvl w:val="0"/>
          <w:numId w:val="16"/>
        </w:numPr>
      </w:pPr>
      <w:r>
        <w:t xml:space="preserve">Non-academic </w:t>
      </w:r>
      <w:r w:rsidR="00E546FE">
        <w:t>activities, which</w:t>
      </w:r>
      <w:r>
        <w:t xml:space="preserve"> generate heavy network traffic, especially </w:t>
      </w:r>
      <w:r w:rsidR="00E546FE">
        <w:t>that</w:t>
      </w:r>
      <w:r>
        <w:t xml:space="preserve"> interfere with others legitimate</w:t>
      </w:r>
      <w:r w:rsidR="00E546FE">
        <w:t xml:space="preserve"> us of IT facilities or which incur financial costs. </w:t>
      </w:r>
    </w:p>
    <w:p w14:paraId="6705529B" w14:textId="77777777" w:rsidR="00200648" w:rsidRDefault="00E546FE" w:rsidP="00200EEF">
      <w:pPr>
        <w:pStyle w:val="ListParagraph"/>
        <w:numPr>
          <w:ilvl w:val="0"/>
          <w:numId w:val="16"/>
        </w:numPr>
      </w:pPr>
      <w:r>
        <w:t>Excessive use of resources, which may lead to denial of a service to others.</w:t>
      </w:r>
    </w:p>
    <w:p w14:paraId="523EF107" w14:textId="77777777" w:rsidR="00E546FE" w:rsidRDefault="006B08F8" w:rsidP="00200EEF">
      <w:pPr>
        <w:pStyle w:val="ListParagraph"/>
        <w:numPr>
          <w:ilvl w:val="0"/>
          <w:numId w:val="16"/>
        </w:numPr>
      </w:pPr>
      <w:r>
        <w:t>Frivolous use of University owned IT studios, especially where such activities interfere with others legitimate use of IT services.</w:t>
      </w:r>
    </w:p>
    <w:p w14:paraId="53B188E3" w14:textId="77777777" w:rsidR="006B08F8" w:rsidRDefault="006B08F8" w:rsidP="00200EEF">
      <w:pPr>
        <w:pStyle w:val="ListParagraph"/>
        <w:numPr>
          <w:ilvl w:val="0"/>
          <w:numId w:val="16"/>
        </w:numPr>
      </w:pPr>
      <w:r>
        <w:t>Use of any storage device for the purpose of copying unlicensed copyright material, software, music etc.</w:t>
      </w:r>
    </w:p>
    <w:p w14:paraId="5CDD4328" w14:textId="77777777" w:rsidR="006B08F8" w:rsidRDefault="006B08F8" w:rsidP="00200EEF">
      <w:pPr>
        <w:pStyle w:val="ListParagraph"/>
        <w:numPr>
          <w:ilvl w:val="0"/>
          <w:numId w:val="16"/>
        </w:numPr>
      </w:pPr>
      <w:r>
        <w:t>Copying of other people’s web site material without the express permission of the copyright holder.</w:t>
      </w:r>
    </w:p>
    <w:p w14:paraId="2F663571" w14:textId="77777777" w:rsidR="006B08F8" w:rsidRDefault="006B08F8" w:rsidP="00200EEF">
      <w:pPr>
        <w:pStyle w:val="ListParagraph"/>
        <w:numPr>
          <w:ilvl w:val="0"/>
          <w:numId w:val="16"/>
        </w:numPr>
      </w:pPr>
      <w:r>
        <w:t>Use of any peer-to-peer and related applica</w:t>
      </w:r>
      <w:r w:rsidR="00F61AD0">
        <w:t xml:space="preserve">tions within the University. </w:t>
      </w:r>
    </w:p>
    <w:p w14:paraId="7F1CF6B4" w14:textId="77777777" w:rsidR="00F61AD0" w:rsidRDefault="00F61AD0" w:rsidP="00F61AD0"/>
    <w:p w14:paraId="1531629C" w14:textId="77777777" w:rsidR="00F61AD0" w:rsidRDefault="00F61AD0" w:rsidP="00F61AD0">
      <w:r>
        <w:lastRenderedPageBreak/>
        <w:t>Users must not deliberately visit, view, download, print, copy, forward or otherwise transmit any unlawful material. This would include but not be limited to:</w:t>
      </w:r>
    </w:p>
    <w:p w14:paraId="22A0C108" w14:textId="77777777" w:rsidR="00F61AD0" w:rsidRDefault="00F61AD0" w:rsidP="00F61AD0">
      <w:pPr>
        <w:pStyle w:val="ListParagraph"/>
        <w:numPr>
          <w:ilvl w:val="0"/>
          <w:numId w:val="16"/>
        </w:numPr>
      </w:pPr>
      <w:r>
        <w:t xml:space="preserve">Publishing or distributing material or </w:t>
      </w:r>
      <w:r w:rsidR="00F37022">
        <w:t>statements, which</w:t>
      </w:r>
      <w:r>
        <w:t xml:space="preserve"> encourage or glorify terrorism.</w:t>
      </w:r>
    </w:p>
    <w:p w14:paraId="0C1A18E4" w14:textId="77777777" w:rsidR="00F61AD0" w:rsidRDefault="00F61AD0" w:rsidP="00F61AD0">
      <w:pPr>
        <w:pStyle w:val="ListParagraph"/>
        <w:numPr>
          <w:ilvl w:val="0"/>
          <w:numId w:val="16"/>
        </w:numPr>
      </w:pPr>
      <w:r>
        <w:t>Disseminating terrorist publications.</w:t>
      </w:r>
    </w:p>
    <w:p w14:paraId="60399328" w14:textId="77777777" w:rsidR="00F61AD0" w:rsidRDefault="00F61AD0" w:rsidP="00F61AD0">
      <w:pPr>
        <w:pStyle w:val="ListParagraph"/>
        <w:numPr>
          <w:ilvl w:val="0"/>
          <w:numId w:val="16"/>
        </w:numPr>
      </w:pPr>
      <w:r>
        <w:t xml:space="preserve">Collecting information likely to be useful in the commissioning or preparation of terrorism. </w:t>
      </w:r>
    </w:p>
    <w:p w14:paraId="1BCF4571" w14:textId="77777777" w:rsidR="00F61AD0" w:rsidRDefault="00F61AD0" w:rsidP="00F61AD0">
      <w:pPr>
        <w:pStyle w:val="ListParagraph"/>
        <w:numPr>
          <w:ilvl w:val="0"/>
          <w:numId w:val="16"/>
        </w:numPr>
      </w:pPr>
      <w:r>
        <w:t xml:space="preserve">Downloading or distributing indecent images of children. </w:t>
      </w:r>
    </w:p>
    <w:p w14:paraId="79A7C6B4" w14:textId="77777777" w:rsidR="00F61AD0" w:rsidRDefault="00F61AD0" w:rsidP="00F61AD0"/>
    <w:p w14:paraId="347EF29C" w14:textId="77777777" w:rsidR="00F61AD0" w:rsidRDefault="00F61AD0" w:rsidP="00F61AD0">
      <w:r>
        <w:t xml:space="preserve">The University reserves the right to implement filtering to block access to unlawful material, except where access is necessary as part of legitimate </w:t>
      </w:r>
      <w:r w:rsidR="00D54D2C">
        <w:t xml:space="preserve">research, where access to unlawful material has been specifically authorised under the University’s research ethics procedures. </w:t>
      </w:r>
    </w:p>
    <w:p w14:paraId="052E1109" w14:textId="77777777" w:rsidR="00D54D2C" w:rsidRDefault="00D54D2C" w:rsidP="00F61AD0"/>
    <w:p w14:paraId="535028E3" w14:textId="77777777" w:rsidR="00D54D2C" w:rsidRDefault="00D54D2C" w:rsidP="00F61AD0">
      <w:r>
        <w:t>If you mistakenly access unlawful material, you should notify the IT Department. You should be aware that you would be held responsible fo</w:t>
      </w:r>
      <w:r w:rsidR="00472CBF">
        <w:t xml:space="preserve">r any claims brought against the university. </w:t>
      </w:r>
    </w:p>
    <w:p w14:paraId="453D6328" w14:textId="77777777" w:rsidR="00472CBF" w:rsidRDefault="00472CBF" w:rsidP="00F61AD0"/>
    <w:p w14:paraId="5F11D570" w14:textId="77777777" w:rsidR="00472CBF" w:rsidRDefault="00472CBF" w:rsidP="00F61AD0">
      <w:r>
        <w:t xml:space="preserve">In the event of any use that could be regarded as giving rise to criminal proceedings, the University may inform the police or other law enforcement agency. </w:t>
      </w:r>
    </w:p>
    <w:p w14:paraId="4A3616B5" w14:textId="77777777" w:rsidR="00472CBF" w:rsidRDefault="00472CBF" w:rsidP="00F61AD0"/>
    <w:p w14:paraId="1812029C" w14:textId="77777777" w:rsidR="00472CBF" w:rsidRDefault="00472CBF" w:rsidP="00F61AD0">
      <w:r>
        <w:t xml:space="preserve">Other uses may be unacceptable in certain circumstances. If in doubt, it is expected that users will take the conservative view and deem that it is unacceptable use of the university IT services. </w:t>
      </w:r>
    </w:p>
    <w:p w14:paraId="05FAE0E2" w14:textId="77777777" w:rsidR="00472CBF" w:rsidRDefault="00472CBF" w:rsidP="00F61AD0"/>
    <w:p w14:paraId="0491F926" w14:textId="77777777" w:rsidR="00472CBF" w:rsidRPr="00272273" w:rsidRDefault="00472CBF" w:rsidP="00F61AD0">
      <w:r>
        <w:t xml:space="preserve"> </w:t>
      </w:r>
    </w:p>
    <w:p w14:paraId="6F0FDF5F" w14:textId="77777777" w:rsidR="007B4D4F" w:rsidRPr="00CA4D89" w:rsidRDefault="007B4D4F" w:rsidP="009C7322"/>
    <w:p w14:paraId="4EF94509" w14:textId="77777777" w:rsidR="002C081E" w:rsidRDefault="002C081E" w:rsidP="000F1ED5">
      <w:pPr>
        <w:pStyle w:val="Heading1"/>
      </w:pPr>
      <w:bookmarkStart w:id="59" w:name="_Toc20388175"/>
      <w:r>
        <w:t>Individuals Must Not</w:t>
      </w:r>
      <w:bookmarkEnd w:id="59"/>
    </w:p>
    <w:p w14:paraId="4BDA381F" w14:textId="77777777" w:rsidR="002C081E" w:rsidRDefault="002C081E" w:rsidP="002C081E">
      <w:pPr>
        <w:pStyle w:val="ListParagraph"/>
        <w:numPr>
          <w:ilvl w:val="0"/>
          <w:numId w:val="16"/>
        </w:numPr>
      </w:pPr>
      <w:r>
        <w:t xml:space="preserve">Allow anyone else to use </w:t>
      </w:r>
      <w:r w:rsidR="00F37022">
        <w:t>his or her</w:t>
      </w:r>
      <w:r>
        <w:t xml:space="preserve"> user ID/token and password on any IT System.</w:t>
      </w:r>
    </w:p>
    <w:p w14:paraId="0DA7CC8A" w14:textId="77777777" w:rsidR="002C081E" w:rsidRDefault="002C081E" w:rsidP="002C081E">
      <w:pPr>
        <w:pStyle w:val="ListParagraph"/>
        <w:numPr>
          <w:ilvl w:val="0"/>
          <w:numId w:val="16"/>
        </w:numPr>
      </w:pPr>
      <w:r>
        <w:t>Leave their user accounts logged in at an unattended and unlocked computer.</w:t>
      </w:r>
    </w:p>
    <w:p w14:paraId="795E8459" w14:textId="77777777" w:rsidR="002C081E" w:rsidRDefault="002C081E" w:rsidP="002C081E">
      <w:pPr>
        <w:pStyle w:val="ListParagraph"/>
        <w:numPr>
          <w:ilvl w:val="0"/>
          <w:numId w:val="16"/>
        </w:numPr>
      </w:pPr>
      <w:r>
        <w:t>Use someone else’s user ID/Token and password to access any IT System.</w:t>
      </w:r>
    </w:p>
    <w:p w14:paraId="3A084FB4" w14:textId="77777777" w:rsidR="002C081E" w:rsidRDefault="002C081E" w:rsidP="002C081E">
      <w:pPr>
        <w:pStyle w:val="ListParagraph"/>
        <w:numPr>
          <w:ilvl w:val="0"/>
          <w:numId w:val="16"/>
        </w:numPr>
      </w:pPr>
      <w:r>
        <w:t>Leave their password unprotected (</w:t>
      </w:r>
      <w:proofErr w:type="gramStart"/>
      <w:r w:rsidR="00EC24FC">
        <w:t>e.g.</w:t>
      </w:r>
      <w:proofErr w:type="gramEnd"/>
      <w:r>
        <w:t xml:space="preserve"> Writing it down)</w:t>
      </w:r>
    </w:p>
    <w:p w14:paraId="6BE69284" w14:textId="77777777" w:rsidR="00516938" w:rsidRDefault="002C081E" w:rsidP="002C081E">
      <w:pPr>
        <w:pStyle w:val="ListParagraph"/>
        <w:numPr>
          <w:ilvl w:val="0"/>
          <w:numId w:val="16"/>
        </w:numPr>
      </w:pPr>
      <w:r>
        <w:t xml:space="preserve">Perform </w:t>
      </w:r>
      <w:r w:rsidR="00516938">
        <w:t xml:space="preserve">any </w:t>
      </w:r>
      <w:r>
        <w:t>unauthorised</w:t>
      </w:r>
      <w:r w:rsidR="00516938">
        <w:t xml:space="preserve"> changes to IT Systems or information</w:t>
      </w:r>
    </w:p>
    <w:p w14:paraId="078FC1E6" w14:textId="77777777" w:rsidR="00516938" w:rsidRDefault="00516938" w:rsidP="002C081E">
      <w:pPr>
        <w:pStyle w:val="ListParagraph"/>
        <w:numPr>
          <w:ilvl w:val="0"/>
          <w:numId w:val="16"/>
        </w:numPr>
      </w:pPr>
      <w:r>
        <w:t>Exceed the limits of their authorisation or specific business need to interrogate the system or data.</w:t>
      </w:r>
    </w:p>
    <w:p w14:paraId="310E566B" w14:textId="77777777" w:rsidR="00516938" w:rsidRDefault="00516938" w:rsidP="002C081E">
      <w:pPr>
        <w:pStyle w:val="ListParagraph"/>
        <w:numPr>
          <w:ilvl w:val="0"/>
          <w:numId w:val="16"/>
        </w:numPr>
      </w:pPr>
      <w:r>
        <w:t>Connect any non-authorised device to the physical network or directly to IT Systems.</w:t>
      </w:r>
    </w:p>
    <w:p w14:paraId="0E1613C0" w14:textId="77777777" w:rsidR="00516938" w:rsidRDefault="00516938" w:rsidP="002C081E">
      <w:pPr>
        <w:pStyle w:val="ListParagraph"/>
        <w:numPr>
          <w:ilvl w:val="0"/>
          <w:numId w:val="16"/>
        </w:numPr>
      </w:pPr>
      <w:r>
        <w:t>Store data on any non-authorised equipment (</w:t>
      </w:r>
      <w:proofErr w:type="gramStart"/>
      <w:r w:rsidR="00EC24FC">
        <w:t>e.g.</w:t>
      </w:r>
      <w:proofErr w:type="gramEnd"/>
      <w:r>
        <w:t xml:space="preserve"> USB Drives)</w:t>
      </w:r>
    </w:p>
    <w:p w14:paraId="00006E2B" w14:textId="77777777" w:rsidR="007D7BD7" w:rsidRDefault="007D7BD7" w:rsidP="002C081E">
      <w:pPr>
        <w:pStyle w:val="ListParagraph"/>
        <w:numPr>
          <w:ilvl w:val="0"/>
          <w:numId w:val="16"/>
        </w:numPr>
      </w:pPr>
      <w:r>
        <w:t xml:space="preserve">Give or transfer data or software to any person or organisation outside the University without the authority of the Director of IT and/or University Secretary. </w:t>
      </w:r>
    </w:p>
    <w:p w14:paraId="2B8F0AB0" w14:textId="77777777" w:rsidR="007D7BD7" w:rsidRDefault="007D7BD7" w:rsidP="007D7BD7"/>
    <w:p w14:paraId="2999DC14" w14:textId="77777777" w:rsidR="007D7BD7" w:rsidRDefault="007D7BD7" w:rsidP="007D7BD7">
      <w:r>
        <w:t xml:space="preserve">Line Managers are required to ensure that their staff are </w:t>
      </w:r>
      <w:proofErr w:type="gramStart"/>
      <w:r>
        <w:t>aware, and</w:t>
      </w:r>
      <w:proofErr w:type="gramEnd"/>
      <w:r>
        <w:t xml:space="preserve"> given clear instructions on</w:t>
      </w:r>
      <w:r w:rsidR="003E6032">
        <w:t xml:space="preserve"> the extent</w:t>
      </w:r>
      <w:r>
        <w:t xml:space="preserve"> and limits of a member of staff’s authority with regard to IT Systems and data. </w:t>
      </w:r>
    </w:p>
    <w:p w14:paraId="0E9CC03D" w14:textId="77777777" w:rsidR="003E6032" w:rsidRDefault="002C081E" w:rsidP="007D7BD7">
      <w:r>
        <w:t xml:space="preserve"> </w:t>
      </w:r>
    </w:p>
    <w:p w14:paraId="2E8796E3" w14:textId="77777777" w:rsidR="003E6032" w:rsidRDefault="003E6032" w:rsidP="003E6032">
      <w:r>
        <w:br w:type="page"/>
      </w:r>
    </w:p>
    <w:p w14:paraId="22B45B2F" w14:textId="77777777" w:rsidR="003E6032" w:rsidRDefault="003E6032" w:rsidP="007D7BD7"/>
    <w:p w14:paraId="7C1ACFF2" w14:textId="77777777" w:rsidR="003E6032" w:rsidRDefault="003E6032" w:rsidP="003E6032">
      <w:pPr>
        <w:pStyle w:val="Heading1"/>
      </w:pPr>
      <w:bookmarkStart w:id="60" w:name="_Toc20388176"/>
      <w:r>
        <w:t>Staff Working Off Site</w:t>
      </w:r>
      <w:bookmarkEnd w:id="60"/>
    </w:p>
    <w:p w14:paraId="2BA867C2" w14:textId="77777777" w:rsidR="003E6032" w:rsidRDefault="003E6032" w:rsidP="003E6032"/>
    <w:p w14:paraId="76A1463B" w14:textId="77777777" w:rsidR="003E6032" w:rsidRDefault="003E6032" w:rsidP="003E6032">
      <w:r>
        <w:t xml:space="preserve">It is accepted that laptops and mobile devices will be used off site. The following controls must be applied. </w:t>
      </w:r>
    </w:p>
    <w:p w14:paraId="24102D96" w14:textId="77777777" w:rsidR="003E6032" w:rsidRDefault="003E6032" w:rsidP="003E6032"/>
    <w:p w14:paraId="1BB1998D" w14:textId="77777777" w:rsidR="003E6032" w:rsidRDefault="003E6032" w:rsidP="003E6032">
      <w:pPr>
        <w:pStyle w:val="ListParagraph"/>
        <w:numPr>
          <w:ilvl w:val="0"/>
          <w:numId w:val="16"/>
        </w:numPr>
      </w:pPr>
      <w:r>
        <w:t>Working away from the office must be in line with the University remote working policy.</w:t>
      </w:r>
    </w:p>
    <w:p w14:paraId="075C89B2" w14:textId="77777777" w:rsidR="003E6032" w:rsidRDefault="003E6032" w:rsidP="003E6032">
      <w:pPr>
        <w:pStyle w:val="ListParagraph"/>
        <w:numPr>
          <w:ilvl w:val="0"/>
          <w:numId w:val="16"/>
        </w:numPr>
      </w:pPr>
      <w:r>
        <w:t xml:space="preserve">Equipment and media taken off site should never be left unattended in public places and not left in sight in a vehicle. </w:t>
      </w:r>
    </w:p>
    <w:p w14:paraId="041B327B" w14:textId="77777777" w:rsidR="003E6032" w:rsidRDefault="003E6032" w:rsidP="003E6032">
      <w:pPr>
        <w:pStyle w:val="ListParagraph"/>
        <w:numPr>
          <w:ilvl w:val="0"/>
          <w:numId w:val="16"/>
        </w:numPr>
      </w:pPr>
      <w:r>
        <w:t xml:space="preserve">Laptops must be carried as hand luggage when travelling. </w:t>
      </w:r>
    </w:p>
    <w:p w14:paraId="226C50BB" w14:textId="77777777" w:rsidR="003E6032" w:rsidRDefault="00A0773A" w:rsidP="003E6032">
      <w:pPr>
        <w:pStyle w:val="ListParagraph"/>
        <w:numPr>
          <w:ilvl w:val="0"/>
          <w:numId w:val="16"/>
        </w:numPr>
      </w:pPr>
      <w:r>
        <w:t>Information/Data taken off site should be encrypted.</w:t>
      </w:r>
    </w:p>
    <w:p w14:paraId="3061EAAE" w14:textId="77777777" w:rsidR="00A0773A" w:rsidRDefault="00A0773A" w:rsidP="003E6032">
      <w:pPr>
        <w:pStyle w:val="ListParagraph"/>
        <w:numPr>
          <w:ilvl w:val="0"/>
          <w:numId w:val="16"/>
        </w:numPr>
      </w:pPr>
      <w:r>
        <w:t>Mobile devices should be protected by password and any additional security.</w:t>
      </w:r>
    </w:p>
    <w:p w14:paraId="3774D966" w14:textId="77777777" w:rsidR="00A0773A" w:rsidRDefault="00A0773A" w:rsidP="00A0773A"/>
    <w:p w14:paraId="18C4DCC6" w14:textId="77777777" w:rsidR="00A0773A" w:rsidRDefault="00A0773A" w:rsidP="00A0773A">
      <w:pPr>
        <w:pStyle w:val="Heading1"/>
      </w:pPr>
      <w:bookmarkStart w:id="61" w:name="_Toc20388177"/>
      <w:r>
        <w:t xml:space="preserve">Staff </w:t>
      </w:r>
      <w:r w:rsidR="00E756D5">
        <w:t>upon</w:t>
      </w:r>
      <w:r>
        <w:t xml:space="preserve"> Termination of Contract</w:t>
      </w:r>
      <w:bookmarkEnd w:id="61"/>
    </w:p>
    <w:p w14:paraId="53564CAE" w14:textId="77777777" w:rsidR="00A0773A" w:rsidRDefault="00A0773A" w:rsidP="00A0773A"/>
    <w:p w14:paraId="30C88441" w14:textId="77777777" w:rsidR="00A0773A" w:rsidRDefault="00A0773A" w:rsidP="00A0773A">
      <w:r>
        <w:t xml:space="preserve">All University equipment and data should be </w:t>
      </w:r>
      <w:r w:rsidR="006A249C">
        <w:t>returned to the University immediately. This includes, but not confined to, Mobile Phones, Laptops, USB Drives and Memory Sticks, CDs and DVDs.</w:t>
      </w:r>
    </w:p>
    <w:p w14:paraId="178691AD" w14:textId="77777777" w:rsidR="006A249C" w:rsidRDefault="006A249C" w:rsidP="00A0773A"/>
    <w:p w14:paraId="208F4815" w14:textId="77777777" w:rsidR="006A249C" w:rsidRPr="00A0773A" w:rsidRDefault="006A249C" w:rsidP="00A0773A">
      <w:r>
        <w:t>All University data or intellectual property developed or gained during the period of employment remains the property of the University and must not be retained beyond termination or reused for any other purpose.</w:t>
      </w:r>
    </w:p>
    <w:p w14:paraId="33CD03E1" w14:textId="77777777" w:rsidR="003E6032" w:rsidRPr="003E6032" w:rsidRDefault="003E6032" w:rsidP="003E6032"/>
    <w:p w14:paraId="5B1A95B2" w14:textId="77777777" w:rsidR="00B4273C" w:rsidRDefault="00B4273C" w:rsidP="000F1ED5">
      <w:pPr>
        <w:pStyle w:val="Heading1"/>
      </w:pPr>
      <w:bookmarkStart w:id="62" w:name="_Toc20388178"/>
      <w:r>
        <w:t>Access to Software</w:t>
      </w:r>
      <w:bookmarkEnd w:id="62"/>
    </w:p>
    <w:p w14:paraId="25EDA808" w14:textId="77777777" w:rsidR="00B4273C" w:rsidRDefault="00B4273C" w:rsidP="00B4273C"/>
    <w:p w14:paraId="2953F0A2" w14:textId="77777777" w:rsidR="00B4273C" w:rsidRDefault="00B4273C" w:rsidP="00B4273C">
      <w:r>
        <w:t>All Users:</w:t>
      </w:r>
    </w:p>
    <w:p w14:paraId="14433366" w14:textId="77777777" w:rsidR="00B4273C" w:rsidRDefault="00B4273C" w:rsidP="00B4273C">
      <w:pPr>
        <w:pStyle w:val="ListParagraph"/>
        <w:numPr>
          <w:ilvl w:val="0"/>
          <w:numId w:val="16"/>
        </w:numPr>
      </w:pPr>
      <w:r>
        <w:t xml:space="preserve">Any software should not be used without the express permission of the copyright holder. All use should be in line with the software licensing </w:t>
      </w:r>
      <w:proofErr w:type="gramStart"/>
      <w:r>
        <w:t>requirements, and</w:t>
      </w:r>
      <w:proofErr w:type="gramEnd"/>
      <w:r>
        <w:t xml:space="preserve"> comply with the owners instructions. </w:t>
      </w:r>
    </w:p>
    <w:p w14:paraId="71177A89" w14:textId="77777777" w:rsidR="00B4273C" w:rsidRDefault="00B4273C" w:rsidP="00B4273C">
      <w:pPr>
        <w:pStyle w:val="ListParagraph"/>
        <w:numPr>
          <w:ilvl w:val="0"/>
          <w:numId w:val="16"/>
        </w:numPr>
      </w:pPr>
      <w:r>
        <w:t xml:space="preserve">No User should copy and/or remove any software without express permission and correct licensing. </w:t>
      </w:r>
    </w:p>
    <w:p w14:paraId="2CC4D999" w14:textId="77777777" w:rsidR="00E756D5" w:rsidRDefault="00732842" w:rsidP="00B4273C">
      <w:pPr>
        <w:pStyle w:val="ListParagraph"/>
        <w:numPr>
          <w:ilvl w:val="0"/>
          <w:numId w:val="16"/>
        </w:numPr>
      </w:pPr>
      <w:r>
        <w:t xml:space="preserve">Software licensing held externally or personally, by a user, expressly provided to them under a “Free to education”, “Free to Student”, “Free to Educator” or “Free to Academic” or is provided at a discount provided as a consequence or working or attending the University, should be either re licensed to full licensing or deleted in entirety </w:t>
      </w:r>
      <w:r w:rsidR="00E756D5">
        <w:t>on</w:t>
      </w:r>
      <w:r>
        <w:t xml:space="preserve"> leaving the University </w:t>
      </w:r>
      <w:r w:rsidR="00E756D5">
        <w:t xml:space="preserve">employment or completing their attendance for education at the University. </w:t>
      </w:r>
    </w:p>
    <w:p w14:paraId="16DC97EE" w14:textId="77777777" w:rsidR="002F117E" w:rsidRDefault="002F117E">
      <w:pPr>
        <w:widowControl/>
        <w:suppressAutoHyphens w:val="0"/>
      </w:pPr>
      <w:r>
        <w:br w:type="page"/>
      </w:r>
    </w:p>
    <w:p w14:paraId="27BD34AB" w14:textId="77777777" w:rsidR="00B4273C" w:rsidRPr="00B4273C" w:rsidRDefault="00E756D5" w:rsidP="002F117E">
      <w:r>
        <w:lastRenderedPageBreak/>
        <w:t xml:space="preserve"> </w:t>
      </w:r>
      <w:r w:rsidR="00732842">
        <w:t xml:space="preserve"> </w:t>
      </w:r>
      <w:r w:rsidR="00B4273C">
        <w:t xml:space="preserve"> </w:t>
      </w:r>
    </w:p>
    <w:p w14:paraId="209A483C" w14:textId="77777777" w:rsidR="00AF1A84" w:rsidRDefault="00AF1A84" w:rsidP="000F1ED5">
      <w:pPr>
        <w:pStyle w:val="Heading1"/>
      </w:pPr>
      <w:r>
        <w:t xml:space="preserve"> </w:t>
      </w:r>
      <w:bookmarkStart w:id="63" w:name="_Toc20388179"/>
      <w:r>
        <w:t>Legislation and Legal Requirements</w:t>
      </w:r>
      <w:bookmarkEnd w:id="63"/>
    </w:p>
    <w:p w14:paraId="59D1DD8B" w14:textId="77777777" w:rsidR="00AF1A84" w:rsidRDefault="00AF1A84" w:rsidP="00AF1A84"/>
    <w:p w14:paraId="632CFCBA" w14:textId="77777777" w:rsidR="00AF1A84" w:rsidRDefault="00AF1A84" w:rsidP="00AF1A84">
      <w:r>
        <w:t xml:space="preserve">Users must comply, at all times, with the </w:t>
      </w:r>
      <w:r w:rsidR="003F27C2">
        <w:t>following Acts:</w:t>
      </w:r>
    </w:p>
    <w:p w14:paraId="4FE8669A" w14:textId="77777777" w:rsidR="003F27C2" w:rsidRDefault="003F27C2" w:rsidP="003F27C2">
      <w:pPr>
        <w:pStyle w:val="ListParagraph"/>
        <w:numPr>
          <w:ilvl w:val="0"/>
          <w:numId w:val="16"/>
        </w:numPr>
      </w:pPr>
      <w:r>
        <w:t>Copyright, Design and Patents Act 1988</w:t>
      </w:r>
    </w:p>
    <w:p w14:paraId="21B50587" w14:textId="2BB2AC8E" w:rsidR="003F27C2" w:rsidRDefault="00992DD2" w:rsidP="003F27C2">
      <w:pPr>
        <w:pStyle w:val="ListParagraph"/>
        <w:numPr>
          <w:ilvl w:val="1"/>
          <w:numId w:val="16"/>
        </w:numPr>
      </w:pPr>
      <w:hyperlink r:id="rId8" w:history="1">
        <w:r w:rsidR="00F75AF4" w:rsidRPr="00F75AF4">
          <w:rPr>
            <w:rStyle w:val="Hyperlink"/>
          </w:rPr>
          <w:t>Copyright, Design and Patents Act 1988</w:t>
        </w:r>
      </w:hyperlink>
    </w:p>
    <w:p w14:paraId="38A1CEE1" w14:textId="77777777" w:rsidR="00341DE4" w:rsidRDefault="00341DE4" w:rsidP="00341DE4"/>
    <w:p w14:paraId="328A687A" w14:textId="77777777" w:rsidR="003F27C2" w:rsidRDefault="00341DE4" w:rsidP="002F117E">
      <w:r w:rsidRPr="00341DE4">
        <w:t>This Act, together with a number of Statutory Instruments that have amended and extended it, controls copyright law, making it an offence to copy all, or a substantial part, which can be a quite small portion,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w:t>
      </w:r>
      <w:r w:rsidR="00EC24FC">
        <w:t xml:space="preserve">rm, and includes words, images </w:t>
      </w:r>
      <w:r w:rsidR="00EC24FC" w:rsidRPr="00341DE4">
        <w:t>and</w:t>
      </w:r>
      <w:r w:rsidR="00EC24FC">
        <w:t>/or</w:t>
      </w:r>
      <w:r w:rsidR="00EC24FC" w:rsidRPr="00341DE4">
        <w:t xml:space="preserve"> sound</w:t>
      </w:r>
      <w:r w:rsidRPr="00341DE4">
        <w:t>, moving images, TV broadcasts and many other media.</w:t>
      </w:r>
    </w:p>
    <w:p w14:paraId="02D6E8E4" w14:textId="77777777" w:rsidR="00341DE4" w:rsidRDefault="00341DE4" w:rsidP="002F117E"/>
    <w:p w14:paraId="09B11AC5" w14:textId="77777777" w:rsidR="003F27C2" w:rsidRDefault="003F27C2" w:rsidP="003F27C2">
      <w:pPr>
        <w:pStyle w:val="ListParagraph"/>
        <w:numPr>
          <w:ilvl w:val="0"/>
          <w:numId w:val="16"/>
        </w:numPr>
      </w:pPr>
      <w:r>
        <w:t>Malicious Communications Act 1988</w:t>
      </w:r>
    </w:p>
    <w:p w14:paraId="6A5CA3ED" w14:textId="328ED169" w:rsidR="003F27C2" w:rsidRDefault="00992DD2" w:rsidP="003F27C2">
      <w:pPr>
        <w:pStyle w:val="ListParagraph"/>
        <w:numPr>
          <w:ilvl w:val="1"/>
          <w:numId w:val="16"/>
        </w:numPr>
      </w:pPr>
      <w:hyperlink r:id="rId9" w:history="1">
        <w:r w:rsidR="00F75AF4" w:rsidRPr="00F75AF4">
          <w:rPr>
            <w:rStyle w:val="Hyperlink"/>
          </w:rPr>
          <w:t>Communications Act 1988</w:t>
        </w:r>
      </w:hyperlink>
    </w:p>
    <w:p w14:paraId="7F0999F2" w14:textId="77777777" w:rsidR="00341DE4" w:rsidRDefault="00341DE4" w:rsidP="003F27C2"/>
    <w:p w14:paraId="2E63C82F" w14:textId="77777777" w:rsidR="001E277E" w:rsidRDefault="001E277E" w:rsidP="001E277E">
      <w:pPr>
        <w:ind w:left="142"/>
        <w:rPr>
          <w:sz w:val="23"/>
          <w:szCs w:val="23"/>
        </w:rPr>
      </w:pPr>
      <w:r w:rsidRPr="001E277E">
        <w:rPr>
          <w:sz w:val="23"/>
          <w:szCs w:val="23"/>
        </w:rPr>
        <w:t xml:space="preserve">Under this </w:t>
      </w:r>
      <w:r w:rsidR="00EC24FC" w:rsidRPr="001E277E">
        <w:rPr>
          <w:sz w:val="23"/>
          <w:szCs w:val="23"/>
        </w:rPr>
        <w:t>Act,</w:t>
      </w:r>
      <w:r w:rsidRPr="001E277E">
        <w:rPr>
          <w:sz w:val="23"/>
          <w:szCs w:val="23"/>
        </w:rPr>
        <w:t xml:space="preserve"> it is an offence to send an indecent, offensive, or threatening letter, electronic communication or </w:t>
      </w:r>
      <w:proofErr w:type="gramStart"/>
      <w:r w:rsidRPr="001E277E">
        <w:rPr>
          <w:sz w:val="23"/>
          <w:szCs w:val="23"/>
        </w:rPr>
        <w:t>other</w:t>
      </w:r>
      <w:proofErr w:type="gramEnd"/>
      <w:r w:rsidRPr="001E277E">
        <w:rPr>
          <w:sz w:val="23"/>
          <w:szCs w:val="23"/>
        </w:rPr>
        <w:t xml:space="preserve"> article to another person. </w:t>
      </w:r>
      <w:proofErr w:type="gramStart"/>
      <w:r w:rsidRPr="001E277E">
        <w:rPr>
          <w:sz w:val="23"/>
          <w:szCs w:val="23"/>
        </w:rPr>
        <w:t>Additionally</w:t>
      </w:r>
      <w:proofErr w:type="gramEnd"/>
      <w:r w:rsidRPr="001E277E">
        <w:rPr>
          <w:sz w:val="23"/>
          <w:szCs w:val="23"/>
        </w:rPr>
        <w:t xml:space="preserve"> under the Telecommunications Act </w:t>
      </w:r>
      <w:r w:rsidR="00EC24FC" w:rsidRPr="001E277E">
        <w:rPr>
          <w:sz w:val="23"/>
          <w:szCs w:val="23"/>
        </w:rPr>
        <w:t>1984,</w:t>
      </w:r>
      <w:r w:rsidRPr="001E277E">
        <w:rPr>
          <w:sz w:val="23"/>
          <w:szCs w:val="23"/>
        </w:rPr>
        <w:t xml:space="preserve"> it is a similar offence to send a telephone message, which is indecent, offensive, or threatening.</w:t>
      </w:r>
    </w:p>
    <w:p w14:paraId="450382DF" w14:textId="77777777" w:rsidR="001E277E" w:rsidRDefault="001E277E" w:rsidP="001E277E">
      <w:pPr>
        <w:ind w:left="142"/>
      </w:pPr>
    </w:p>
    <w:p w14:paraId="32C09003" w14:textId="77777777" w:rsidR="003F27C2" w:rsidRDefault="007432C2" w:rsidP="007432C2">
      <w:pPr>
        <w:pStyle w:val="ListParagraph"/>
        <w:numPr>
          <w:ilvl w:val="0"/>
          <w:numId w:val="16"/>
        </w:numPr>
      </w:pPr>
      <w:r>
        <w:t>Computer Misuse Act 1990</w:t>
      </w:r>
    </w:p>
    <w:p w14:paraId="20618541" w14:textId="394563B7" w:rsidR="007432C2" w:rsidRDefault="00992DD2" w:rsidP="007432C2">
      <w:pPr>
        <w:pStyle w:val="ListParagraph"/>
        <w:numPr>
          <w:ilvl w:val="1"/>
          <w:numId w:val="16"/>
        </w:numPr>
      </w:pPr>
      <w:hyperlink r:id="rId10" w:history="1">
        <w:r w:rsidR="00E95B5F">
          <w:rPr>
            <w:rStyle w:val="Hyperlink"/>
          </w:rPr>
          <w:t>Computer Misuse Act 1990</w:t>
        </w:r>
      </w:hyperlink>
      <w:r w:rsidR="00E95B5F">
        <w:t xml:space="preserve"> </w:t>
      </w:r>
    </w:p>
    <w:p w14:paraId="5841D100" w14:textId="77777777" w:rsidR="007432C2" w:rsidRDefault="007432C2" w:rsidP="007432C2"/>
    <w:p w14:paraId="6FFBC44A" w14:textId="77777777" w:rsidR="001E277E" w:rsidRDefault="001E277E" w:rsidP="001E277E">
      <w:r>
        <w:t>This Act makes it an offence:</w:t>
      </w:r>
    </w:p>
    <w:p w14:paraId="28A63C2D" w14:textId="77777777" w:rsidR="001E277E" w:rsidRDefault="001E277E" w:rsidP="001E277E">
      <w:r>
        <w:t xml:space="preserve"> </w:t>
      </w:r>
      <w:r w:rsidR="00301517">
        <w:t>To</w:t>
      </w:r>
      <w:r>
        <w:t xml:space="preserve"> erase or amend data or programs without </w:t>
      </w:r>
      <w:proofErr w:type="gramStart"/>
      <w:r>
        <w:t>authority;</w:t>
      </w:r>
      <w:proofErr w:type="gramEnd"/>
    </w:p>
    <w:p w14:paraId="0C5F5667" w14:textId="77777777" w:rsidR="001E277E" w:rsidRDefault="001E277E" w:rsidP="001E277E">
      <w:r>
        <w:t xml:space="preserve"> To obtain unauthorised access to a </w:t>
      </w:r>
      <w:proofErr w:type="gramStart"/>
      <w:r>
        <w:t>computer;</w:t>
      </w:r>
      <w:proofErr w:type="gramEnd"/>
    </w:p>
    <w:p w14:paraId="40826EE8" w14:textId="77777777" w:rsidR="001E277E" w:rsidRDefault="001E277E" w:rsidP="001E277E">
      <w:r>
        <w:t xml:space="preserve"> To "eavesdrop" on a </w:t>
      </w:r>
      <w:proofErr w:type="gramStart"/>
      <w:r>
        <w:t>computer;</w:t>
      </w:r>
      <w:proofErr w:type="gramEnd"/>
    </w:p>
    <w:p w14:paraId="66E58AAD" w14:textId="77777777" w:rsidR="001E277E" w:rsidRDefault="001E277E" w:rsidP="001E277E">
      <w:r>
        <w:t xml:space="preserve"> To make unauthorised use of computer time or </w:t>
      </w:r>
      <w:proofErr w:type="gramStart"/>
      <w:r>
        <w:t>facilities;</w:t>
      </w:r>
      <w:proofErr w:type="gramEnd"/>
    </w:p>
    <w:p w14:paraId="0F060B3B" w14:textId="77777777" w:rsidR="001E277E" w:rsidRDefault="001E277E" w:rsidP="001E277E">
      <w:r>
        <w:t xml:space="preserve"> Maliciously to corrupt or erase data or </w:t>
      </w:r>
      <w:proofErr w:type="gramStart"/>
      <w:r>
        <w:t>programs;</w:t>
      </w:r>
      <w:proofErr w:type="gramEnd"/>
    </w:p>
    <w:p w14:paraId="75E99DFD" w14:textId="77777777" w:rsidR="001E277E" w:rsidRDefault="001E277E" w:rsidP="001E277E">
      <w:r>
        <w:t> To deny access to authorised users.</w:t>
      </w:r>
    </w:p>
    <w:p w14:paraId="1E5EDEA9" w14:textId="77777777" w:rsidR="001E277E" w:rsidRDefault="001E277E" w:rsidP="001E277E"/>
    <w:p w14:paraId="3890B4AA" w14:textId="77777777" w:rsidR="007432C2" w:rsidRDefault="00E51145" w:rsidP="00E51145">
      <w:pPr>
        <w:pStyle w:val="ListParagraph"/>
        <w:numPr>
          <w:ilvl w:val="0"/>
          <w:numId w:val="16"/>
        </w:numPr>
      </w:pPr>
      <w:r>
        <w:t>Criminal Justice and Public Order Act 1994</w:t>
      </w:r>
    </w:p>
    <w:p w14:paraId="226FAB3C" w14:textId="705B2A73" w:rsidR="00E51145" w:rsidRDefault="00992DD2" w:rsidP="00E51145">
      <w:pPr>
        <w:pStyle w:val="ListParagraph"/>
        <w:numPr>
          <w:ilvl w:val="1"/>
          <w:numId w:val="16"/>
        </w:numPr>
      </w:pPr>
      <w:hyperlink r:id="rId11" w:history="1">
        <w:r w:rsidR="00E95B5F" w:rsidRPr="00E95B5F">
          <w:rPr>
            <w:rStyle w:val="Hyperlink"/>
          </w:rPr>
          <w:t>Criminal Justice and Public Order Act 1994</w:t>
        </w:r>
      </w:hyperlink>
    </w:p>
    <w:p w14:paraId="3108EF98" w14:textId="77777777" w:rsidR="00E51145" w:rsidRDefault="00E51145" w:rsidP="00E51145"/>
    <w:p w14:paraId="3EDC690B" w14:textId="77777777" w:rsidR="00301517" w:rsidRDefault="00301517" w:rsidP="00301517">
      <w:r>
        <w:t>This defines a criminal offence of intentional harassment, which covers all forms of harassment, including sexual. A person is guilty of an offence if, with intent to cause a person harassment, alarm or distress, they:</w:t>
      </w:r>
    </w:p>
    <w:p w14:paraId="28B6A822" w14:textId="77777777" w:rsidR="00301517" w:rsidRDefault="00301517" w:rsidP="00301517">
      <w:r>
        <w:t> use threatening, abusive or insulting words or behaviour, or disorderly behaviour; or</w:t>
      </w:r>
    </w:p>
    <w:p w14:paraId="025CF1BA" w14:textId="77777777" w:rsidR="00301517" w:rsidRDefault="00301517" w:rsidP="00301517">
      <w:r>
        <w:t> display any writing, sign or other visible representation, which is threatening, abusive or insulting, thereby causing that or another person harassment, alarm or distress.</w:t>
      </w:r>
    </w:p>
    <w:p w14:paraId="42B22A16" w14:textId="77777777" w:rsidR="00301517" w:rsidRDefault="00301517">
      <w:pPr>
        <w:widowControl/>
        <w:suppressAutoHyphens w:val="0"/>
      </w:pPr>
      <w:r>
        <w:br w:type="page"/>
      </w:r>
    </w:p>
    <w:p w14:paraId="48056CB4" w14:textId="77777777" w:rsidR="00301517" w:rsidRDefault="00301517" w:rsidP="00301517"/>
    <w:p w14:paraId="132816A7" w14:textId="77777777" w:rsidR="00E51145" w:rsidRDefault="00E51145" w:rsidP="00E51145">
      <w:pPr>
        <w:pStyle w:val="ListParagraph"/>
        <w:numPr>
          <w:ilvl w:val="0"/>
          <w:numId w:val="16"/>
        </w:numPr>
      </w:pPr>
      <w:proofErr w:type="gramStart"/>
      <w:r>
        <w:t>Trade Marks</w:t>
      </w:r>
      <w:proofErr w:type="gramEnd"/>
      <w:r>
        <w:t xml:space="preserve"> Act 1994</w:t>
      </w:r>
    </w:p>
    <w:p w14:paraId="03F9AF4E" w14:textId="7CDDE4C3" w:rsidR="00E51145" w:rsidRDefault="00992DD2" w:rsidP="00E51145">
      <w:pPr>
        <w:pStyle w:val="ListParagraph"/>
        <w:numPr>
          <w:ilvl w:val="1"/>
          <w:numId w:val="16"/>
        </w:numPr>
      </w:pPr>
      <w:hyperlink r:id="rId12" w:history="1">
        <w:proofErr w:type="gramStart"/>
        <w:r w:rsidR="00DB1EE0" w:rsidRPr="00DB1EE0">
          <w:rPr>
            <w:rStyle w:val="Hyperlink"/>
          </w:rPr>
          <w:t>Trade Marks</w:t>
        </w:r>
        <w:proofErr w:type="gramEnd"/>
        <w:r w:rsidR="00DB1EE0" w:rsidRPr="00DB1EE0">
          <w:rPr>
            <w:rStyle w:val="Hyperlink"/>
          </w:rPr>
          <w:t xml:space="preserve"> Act 1994</w:t>
        </w:r>
      </w:hyperlink>
    </w:p>
    <w:p w14:paraId="1CC70460" w14:textId="77777777" w:rsidR="00E51145" w:rsidRDefault="00E51145" w:rsidP="00E51145"/>
    <w:p w14:paraId="19FFA3D4" w14:textId="77777777" w:rsidR="00301517" w:rsidRDefault="00301517" w:rsidP="00301517">
      <w:pPr>
        <w:ind w:left="142"/>
        <w:rPr>
          <w:sz w:val="23"/>
          <w:szCs w:val="23"/>
        </w:rPr>
      </w:pPr>
      <w:r w:rsidRPr="00301517">
        <w:rPr>
          <w:sz w:val="23"/>
          <w:szCs w:val="23"/>
        </w:rPr>
        <w:t xml:space="preserve">This Act provides protection for Registered </w:t>
      </w:r>
      <w:proofErr w:type="gramStart"/>
      <w:r w:rsidRPr="00301517">
        <w:rPr>
          <w:sz w:val="23"/>
          <w:szCs w:val="23"/>
        </w:rPr>
        <w:t>Trade Marks</w:t>
      </w:r>
      <w:proofErr w:type="gramEnd"/>
      <w:r w:rsidRPr="00301517">
        <w:rPr>
          <w:sz w:val="23"/>
          <w:szCs w:val="23"/>
        </w:rPr>
        <w:t xml:space="preserve">, which can be any symbol (words or images) or even shapes of objects that are associated with a particular set of goods or services. Anyone who uses a Registered </w:t>
      </w:r>
      <w:proofErr w:type="gramStart"/>
      <w:r w:rsidRPr="00301517">
        <w:rPr>
          <w:sz w:val="23"/>
          <w:szCs w:val="23"/>
        </w:rPr>
        <w:t>Trade Mark</w:t>
      </w:r>
      <w:proofErr w:type="gramEnd"/>
      <w:r w:rsidRPr="00301517">
        <w:rPr>
          <w:sz w:val="23"/>
          <w:szCs w:val="23"/>
        </w:rPr>
        <w:t xml:space="preserve"> without permission can expose himself or herself to litigation. This can also arise from the use of a Mark that is confusingly similar to an existing Mark.</w:t>
      </w:r>
    </w:p>
    <w:p w14:paraId="7F3CC465" w14:textId="77777777" w:rsidR="00301517" w:rsidRDefault="00301517" w:rsidP="00301517">
      <w:pPr>
        <w:ind w:left="142"/>
      </w:pPr>
    </w:p>
    <w:p w14:paraId="5947425D" w14:textId="77777777" w:rsidR="00E51145" w:rsidRDefault="00E51145" w:rsidP="00E51145">
      <w:pPr>
        <w:pStyle w:val="ListParagraph"/>
        <w:numPr>
          <w:ilvl w:val="0"/>
          <w:numId w:val="16"/>
        </w:numPr>
      </w:pPr>
      <w:r>
        <w:t>Data Protection Act 1998</w:t>
      </w:r>
    </w:p>
    <w:p w14:paraId="1DC9C460" w14:textId="465E4614" w:rsidR="00E51145" w:rsidRDefault="00992DD2" w:rsidP="00E51145">
      <w:pPr>
        <w:pStyle w:val="ListParagraph"/>
        <w:numPr>
          <w:ilvl w:val="1"/>
          <w:numId w:val="16"/>
        </w:numPr>
      </w:pPr>
      <w:hyperlink r:id="rId13" w:history="1">
        <w:r w:rsidR="00DB1EE0" w:rsidRPr="00DB1EE0">
          <w:rPr>
            <w:rStyle w:val="Hyperlink"/>
          </w:rPr>
          <w:t>Data Protection Act 1998</w:t>
        </w:r>
      </w:hyperlink>
    </w:p>
    <w:p w14:paraId="607F6180" w14:textId="77777777" w:rsidR="00E51145" w:rsidRDefault="00E51145" w:rsidP="00E51145"/>
    <w:p w14:paraId="11CC6869" w14:textId="77777777" w:rsidR="00301517" w:rsidRDefault="00301517" w:rsidP="00E51145">
      <w:r w:rsidRPr="00301517">
        <w:t xml:space="preserve">The University has a Data Protection Policy Statement that applies to all staff and students </w:t>
      </w:r>
      <w:proofErr w:type="gramStart"/>
      <w:r w:rsidRPr="00301517">
        <w:t>of</w:t>
      </w:r>
      <w:proofErr w:type="gramEnd"/>
      <w:r w:rsidRPr="00301517">
        <w:t xml:space="preserve"> the University. Any breach of the Data Protection Act 1998 or the University Data Protection Policy is considered to be an offence </w:t>
      </w:r>
      <w:proofErr w:type="gramStart"/>
      <w:r w:rsidRPr="00301517">
        <w:t>and in that event</w:t>
      </w:r>
      <w:proofErr w:type="gramEnd"/>
      <w:r w:rsidRPr="00301517">
        <w:t>, disciplinary procedures will apply.</w:t>
      </w:r>
    </w:p>
    <w:p w14:paraId="69CE2FC0" w14:textId="77777777" w:rsidR="00301517" w:rsidRDefault="00301517" w:rsidP="00E51145"/>
    <w:p w14:paraId="260ACE04" w14:textId="77777777" w:rsidR="00E51145" w:rsidRDefault="00E51145" w:rsidP="00E51145">
      <w:pPr>
        <w:pStyle w:val="ListParagraph"/>
        <w:numPr>
          <w:ilvl w:val="0"/>
          <w:numId w:val="16"/>
        </w:numPr>
      </w:pPr>
      <w:r>
        <w:t>Human Rights Act 1998</w:t>
      </w:r>
    </w:p>
    <w:p w14:paraId="078E2D33" w14:textId="6AFE3C9C" w:rsidR="00E51145" w:rsidRDefault="00992DD2" w:rsidP="00E51145">
      <w:pPr>
        <w:pStyle w:val="ListParagraph"/>
        <w:numPr>
          <w:ilvl w:val="1"/>
          <w:numId w:val="16"/>
        </w:numPr>
      </w:pPr>
      <w:hyperlink r:id="rId14" w:history="1">
        <w:r w:rsidR="00DB1EE0" w:rsidRPr="00DB1EE0">
          <w:rPr>
            <w:rStyle w:val="Hyperlink"/>
          </w:rPr>
          <w:t>Human Rights Act 1998</w:t>
        </w:r>
      </w:hyperlink>
    </w:p>
    <w:p w14:paraId="7468A46A" w14:textId="77777777" w:rsidR="00E51145" w:rsidRDefault="00E51145" w:rsidP="00E51145"/>
    <w:p w14:paraId="6D785AC2" w14:textId="77777777" w:rsidR="00301517" w:rsidRDefault="00301517" w:rsidP="00301517">
      <w:r>
        <w:t>This act does not set out to deal with any particular mischief or address specifically any discrete subject area within the law. It is a type of “higher law”, affecting all other laws.</w:t>
      </w:r>
    </w:p>
    <w:p w14:paraId="3D3EC62E" w14:textId="77777777" w:rsidR="00301517" w:rsidRDefault="00301517" w:rsidP="00301517">
      <w:r>
        <w:t>In the context of the University, important human rights to be aware of include:</w:t>
      </w:r>
    </w:p>
    <w:p w14:paraId="2C45965F" w14:textId="77777777" w:rsidR="00301517" w:rsidRDefault="00301517" w:rsidP="00301517">
      <w:r>
        <w:t> the right to a fair trial</w:t>
      </w:r>
    </w:p>
    <w:p w14:paraId="04A6952E" w14:textId="77777777" w:rsidR="00301517" w:rsidRDefault="00301517" w:rsidP="00301517">
      <w:r>
        <w:t> the right to respect for private and family life, home and correspondence</w:t>
      </w:r>
    </w:p>
    <w:p w14:paraId="05B5B0F3" w14:textId="77777777" w:rsidR="00301517" w:rsidRDefault="00301517" w:rsidP="00301517">
      <w:r>
        <w:t> freedom of thought, conscience and religion</w:t>
      </w:r>
    </w:p>
    <w:p w14:paraId="26520656" w14:textId="77777777" w:rsidR="00301517" w:rsidRDefault="00301517" w:rsidP="00301517">
      <w:r>
        <w:t> freedom of expression</w:t>
      </w:r>
    </w:p>
    <w:p w14:paraId="33C9E397" w14:textId="77777777" w:rsidR="00301517" w:rsidRDefault="00301517" w:rsidP="00301517">
      <w:r>
        <w:t> freedom of assembly</w:t>
      </w:r>
    </w:p>
    <w:p w14:paraId="632CE33B" w14:textId="77777777" w:rsidR="00301517" w:rsidRDefault="00301517" w:rsidP="00301517">
      <w:r>
        <w:t> prohibition of discrimination</w:t>
      </w:r>
    </w:p>
    <w:p w14:paraId="4C16444C" w14:textId="77777777" w:rsidR="00301517" w:rsidRDefault="00301517" w:rsidP="00301517">
      <w:r>
        <w:t> the right to education</w:t>
      </w:r>
    </w:p>
    <w:p w14:paraId="0D46E6BD" w14:textId="77777777" w:rsidR="00301517" w:rsidRDefault="00301517" w:rsidP="00301517"/>
    <w:p w14:paraId="740E8CF1" w14:textId="77777777" w:rsidR="000B0111" w:rsidRDefault="000B0111" w:rsidP="00301517">
      <w:r w:rsidRPr="000B0111">
        <w:t xml:space="preserve">These rights are not absolute. The University, together with all users of its ICT services, is obliged to respect these rights and freedoms, balancing them against those rights, duties and </w:t>
      </w:r>
      <w:r w:rsidR="00EC24FC" w:rsidRPr="000B0111">
        <w:t>obligations, which</w:t>
      </w:r>
      <w:r w:rsidRPr="000B0111">
        <w:t xml:space="preserve"> arise from other relevant legislation.</w:t>
      </w:r>
    </w:p>
    <w:p w14:paraId="6D41E0CD" w14:textId="77777777" w:rsidR="000B0111" w:rsidRDefault="000B0111" w:rsidP="00301517"/>
    <w:p w14:paraId="1359FE01" w14:textId="77777777" w:rsidR="00E51145" w:rsidRDefault="00E51145" w:rsidP="00E51145">
      <w:pPr>
        <w:pStyle w:val="ListParagraph"/>
        <w:numPr>
          <w:ilvl w:val="0"/>
          <w:numId w:val="16"/>
        </w:numPr>
      </w:pPr>
      <w:r>
        <w:t>Regulation of Investigatory Powers Act 2000</w:t>
      </w:r>
    </w:p>
    <w:p w14:paraId="7E7224A2" w14:textId="45E66217" w:rsidR="00E51145" w:rsidRDefault="00992DD2" w:rsidP="00E51145">
      <w:pPr>
        <w:pStyle w:val="ListParagraph"/>
        <w:numPr>
          <w:ilvl w:val="1"/>
          <w:numId w:val="16"/>
        </w:numPr>
      </w:pPr>
      <w:hyperlink r:id="rId15" w:history="1">
        <w:r w:rsidR="00DB1EE0" w:rsidRPr="00DB1EE0">
          <w:rPr>
            <w:rStyle w:val="Hyperlink"/>
          </w:rPr>
          <w:t>Regulation of Investigatory Powers Act 2000</w:t>
        </w:r>
      </w:hyperlink>
    </w:p>
    <w:p w14:paraId="7BF4447F" w14:textId="77777777" w:rsidR="00E51145" w:rsidRDefault="00E51145" w:rsidP="00E51145"/>
    <w:p w14:paraId="64F4C0D5" w14:textId="77777777" w:rsidR="000B0111" w:rsidRDefault="000B0111" w:rsidP="000B0111">
      <w:r>
        <w:t>The Act states that it is an offence</w:t>
      </w:r>
      <w:r w:rsidR="00EC24FC">
        <w:t>,</w:t>
      </w:r>
      <w:r>
        <w:t xml:space="preserve"> for any person</w:t>
      </w:r>
      <w:r w:rsidR="00EC24FC">
        <w:t>,</w:t>
      </w:r>
      <w:r>
        <w:t xml:space="preserve"> to intentionally and without lawful authority</w:t>
      </w:r>
      <w:r w:rsidR="00EC24FC">
        <w:t>,</w:t>
      </w:r>
      <w:r>
        <w:t xml:space="preserve"> intercept any communication. Monitoring or keeping a record of any form of electronic (including telephone) communications to is permitted, in order to:</w:t>
      </w:r>
    </w:p>
    <w:p w14:paraId="1C969F98" w14:textId="77777777" w:rsidR="000B0111" w:rsidRDefault="00EC24FC" w:rsidP="000B0111">
      <w:r>
        <w:t> Establish the facts</w:t>
      </w:r>
    </w:p>
    <w:p w14:paraId="5975597E" w14:textId="77777777" w:rsidR="000B0111" w:rsidRDefault="000B0111" w:rsidP="000B0111">
      <w:r>
        <w:t xml:space="preserve"> Ascertain compliance with regulatory or self-regulatory practices or </w:t>
      </w:r>
      <w:proofErr w:type="gramStart"/>
      <w:r>
        <w:t>procedures;</w:t>
      </w:r>
      <w:proofErr w:type="gramEnd"/>
    </w:p>
    <w:p w14:paraId="05F7175C" w14:textId="77777777" w:rsidR="000B0111" w:rsidRDefault="000B0111" w:rsidP="000B0111">
      <w:r>
        <w:t xml:space="preserve"> Demonstrate standards, which are or ought to be achieved by persons using the </w:t>
      </w:r>
      <w:proofErr w:type="gramStart"/>
      <w:r>
        <w:t>system;</w:t>
      </w:r>
      <w:proofErr w:type="gramEnd"/>
    </w:p>
    <w:p w14:paraId="7347DD11" w14:textId="77777777" w:rsidR="000B0111" w:rsidRDefault="000B0111" w:rsidP="000B0111">
      <w:r>
        <w:t xml:space="preserve"> Investigate or detect unauthorised use of the communications </w:t>
      </w:r>
      <w:proofErr w:type="gramStart"/>
      <w:r>
        <w:t>system;</w:t>
      </w:r>
      <w:proofErr w:type="gramEnd"/>
    </w:p>
    <w:p w14:paraId="26F8BB4E" w14:textId="77777777" w:rsidR="000B0111" w:rsidRDefault="000B0111" w:rsidP="000B0111">
      <w:r>
        <w:t xml:space="preserve"> Prevent or detect crime or in the interests of national </w:t>
      </w:r>
      <w:proofErr w:type="gramStart"/>
      <w:r>
        <w:t>security;</w:t>
      </w:r>
      <w:proofErr w:type="gramEnd"/>
    </w:p>
    <w:p w14:paraId="2F3668FE" w14:textId="77777777" w:rsidR="000B0111" w:rsidRDefault="000B0111" w:rsidP="000B0111">
      <w:r>
        <w:t> Ensure the effective operation of the system.</w:t>
      </w:r>
    </w:p>
    <w:p w14:paraId="5566A0F4" w14:textId="77777777" w:rsidR="000B0111" w:rsidRDefault="000B0111" w:rsidP="000B0111">
      <w:r>
        <w:lastRenderedPageBreak/>
        <w:t xml:space="preserve"> </w:t>
      </w:r>
      <w:r w:rsidR="00EC24FC">
        <w:t>monitoring</w:t>
      </w:r>
      <w:r>
        <w:t xml:space="preserve"> but not recording </w:t>
      </w:r>
      <w:r w:rsidR="009047DB">
        <w:t>is also permissible in order to a</w:t>
      </w:r>
      <w:r>
        <w:t>scertain whether the commun</w:t>
      </w:r>
      <w:r w:rsidR="009047DB">
        <w:t>ication is business or personal or to p</w:t>
      </w:r>
      <w:r>
        <w:t>rotect or support help line staff.</w:t>
      </w:r>
    </w:p>
    <w:p w14:paraId="5D3991D2" w14:textId="77777777" w:rsidR="009047DB" w:rsidRDefault="009047DB" w:rsidP="000B0111"/>
    <w:p w14:paraId="049C15AF" w14:textId="77777777" w:rsidR="000B0111" w:rsidRDefault="000B0111" w:rsidP="000B0111">
      <w:r>
        <w:t>The University reserves the right to monitor e-mail, telephone, and any other communications in line with its rights under this act.</w:t>
      </w:r>
    </w:p>
    <w:p w14:paraId="72F89FBB" w14:textId="77777777" w:rsidR="000B0111" w:rsidRDefault="000B0111" w:rsidP="000B0111"/>
    <w:p w14:paraId="4714BBE0" w14:textId="77777777" w:rsidR="00E51145" w:rsidRDefault="00D74E5A" w:rsidP="00D74E5A">
      <w:pPr>
        <w:pStyle w:val="ListParagraph"/>
        <w:numPr>
          <w:ilvl w:val="0"/>
          <w:numId w:val="16"/>
        </w:numPr>
      </w:pPr>
      <w:r>
        <w:t>Freedom of Information Act 2000</w:t>
      </w:r>
    </w:p>
    <w:p w14:paraId="01784C6E" w14:textId="33237D9C" w:rsidR="00D74E5A" w:rsidRDefault="00992DD2" w:rsidP="00D74E5A">
      <w:pPr>
        <w:pStyle w:val="ListParagraph"/>
        <w:numPr>
          <w:ilvl w:val="1"/>
          <w:numId w:val="16"/>
        </w:numPr>
      </w:pPr>
      <w:hyperlink r:id="rId16" w:history="1">
        <w:r w:rsidR="00DB1EE0" w:rsidRPr="00DB1EE0">
          <w:rPr>
            <w:rStyle w:val="Hyperlink"/>
          </w:rPr>
          <w:t>Freedom of Information Act 2000</w:t>
        </w:r>
      </w:hyperlink>
    </w:p>
    <w:p w14:paraId="7F18D972" w14:textId="77777777" w:rsidR="00D74E5A" w:rsidRDefault="00D74E5A" w:rsidP="00D74E5A"/>
    <w:p w14:paraId="775AE12C" w14:textId="77777777" w:rsidR="000B0111" w:rsidRDefault="000B0111" w:rsidP="000B0111">
      <w:r>
        <w:t>The Act, intended to increase openness and transparency, obliges public bodies, including Higher Education Institutions, to disclose a wide range of information, both proactively and in response to requests from the public.</w:t>
      </w:r>
    </w:p>
    <w:p w14:paraId="747D5CFA" w14:textId="77777777" w:rsidR="000B0111" w:rsidRDefault="000B0111" w:rsidP="000B0111">
      <w:r>
        <w:t xml:space="preserve">There is an obligation to disclose any recorded information held by the </w:t>
      </w:r>
      <w:r w:rsidR="009047DB">
        <w:t>University, which</w:t>
      </w:r>
      <w:r>
        <w:t xml:space="preserve"> is properly requested unless this falls within very limited exemptions and circumstances.</w:t>
      </w:r>
    </w:p>
    <w:p w14:paraId="0864D6BD" w14:textId="77777777" w:rsidR="000B0111" w:rsidRDefault="000B0111" w:rsidP="000B0111"/>
    <w:p w14:paraId="1F8EC423" w14:textId="77777777" w:rsidR="000B0111" w:rsidRDefault="000B0111" w:rsidP="000B0111">
      <w:r>
        <w:t xml:space="preserve">The types of information that may be </w:t>
      </w:r>
      <w:proofErr w:type="gramStart"/>
      <w:r>
        <w:t>have</w:t>
      </w:r>
      <w:proofErr w:type="gramEnd"/>
      <w:r>
        <w:t xml:space="preserve"> to be found and released are wide-ranging, for example minutes recorded at a board meeting of the institution or documentation relating to important resolutions passed. Retrieval of such a range of information places a considerable burden on an institution</w:t>
      </w:r>
      <w:r w:rsidR="009047DB">
        <w:t>,</w:t>
      </w:r>
      <w:r>
        <w:t xml:space="preserve"> subject to such an information request. In addition to setting a new standard of how such </w:t>
      </w:r>
      <w:r w:rsidR="00B947F3">
        <w:t xml:space="preserve">bodies </w:t>
      </w:r>
      <w:r>
        <w:t>disseminate informatio</w:t>
      </w:r>
      <w:r w:rsidR="009047DB">
        <w:t>n relating to internal affairs. T</w:t>
      </w:r>
      <w:r>
        <w:t>he Act sets time limits by which the information requested must be made</w:t>
      </w:r>
      <w:r w:rsidR="009047DB">
        <w:t xml:space="preserve"> available</w:t>
      </w:r>
      <w:r>
        <w:t xml:space="preserve">, and confers clearly stated rights on the public, regarding such information retrieval. </w:t>
      </w:r>
      <w:proofErr w:type="gramStart"/>
      <w:r>
        <w:t>Therefore</w:t>
      </w:r>
      <w:proofErr w:type="gramEnd"/>
      <w:r>
        <w:t xml:space="preserve"> all staff have a responsibility to know what information they hold and where and how to locate it.</w:t>
      </w:r>
    </w:p>
    <w:p w14:paraId="43074463" w14:textId="77777777" w:rsidR="000B0111" w:rsidRDefault="000B0111" w:rsidP="000B0111"/>
    <w:p w14:paraId="08D7635C" w14:textId="77777777" w:rsidR="00D74E5A" w:rsidRDefault="00D74E5A" w:rsidP="00D74E5A">
      <w:pPr>
        <w:pStyle w:val="ListParagraph"/>
        <w:numPr>
          <w:ilvl w:val="0"/>
          <w:numId w:val="16"/>
        </w:numPr>
      </w:pPr>
      <w:r>
        <w:t>Communications Act 2003</w:t>
      </w:r>
    </w:p>
    <w:p w14:paraId="4A0B6849" w14:textId="3FF9E1A0" w:rsidR="00D74E5A" w:rsidRDefault="00992DD2" w:rsidP="00D74E5A">
      <w:pPr>
        <w:pStyle w:val="ListParagraph"/>
        <w:numPr>
          <w:ilvl w:val="1"/>
          <w:numId w:val="16"/>
        </w:numPr>
      </w:pPr>
      <w:hyperlink r:id="rId17" w:history="1">
        <w:r w:rsidR="00DB1EE0" w:rsidRPr="00DB1EE0">
          <w:rPr>
            <w:rStyle w:val="Hyperlink"/>
          </w:rPr>
          <w:t>Communications Act 2003</w:t>
        </w:r>
      </w:hyperlink>
    </w:p>
    <w:p w14:paraId="32AC8446" w14:textId="77777777" w:rsidR="00D74E5A" w:rsidRDefault="00D74E5A" w:rsidP="00D74E5A"/>
    <w:p w14:paraId="1F5B3D69" w14:textId="77777777" w:rsidR="000B0111" w:rsidRDefault="000B0111" w:rsidP="00D74E5A">
      <w:r w:rsidRPr="000B0111">
        <w:t>This act makes it illegal to dishonestly obtain electronic communication services, such as e-mail and the World Wide Web.</w:t>
      </w:r>
    </w:p>
    <w:p w14:paraId="0A4F9FAB" w14:textId="77777777" w:rsidR="000B0111" w:rsidRDefault="000B0111" w:rsidP="00D74E5A"/>
    <w:p w14:paraId="2BAD1147" w14:textId="77777777" w:rsidR="00D74E5A" w:rsidRDefault="00D74E5A" w:rsidP="00D74E5A">
      <w:pPr>
        <w:pStyle w:val="ListParagraph"/>
        <w:numPr>
          <w:ilvl w:val="0"/>
          <w:numId w:val="16"/>
        </w:numPr>
      </w:pPr>
      <w:r>
        <w:t>Terrorism Act 2000 and 2006</w:t>
      </w:r>
    </w:p>
    <w:p w14:paraId="297CA670" w14:textId="07E9E03F" w:rsidR="00D74E5A" w:rsidRDefault="00992DD2" w:rsidP="00D74E5A">
      <w:pPr>
        <w:pStyle w:val="ListParagraph"/>
        <w:numPr>
          <w:ilvl w:val="1"/>
          <w:numId w:val="16"/>
        </w:numPr>
      </w:pPr>
      <w:hyperlink r:id="rId18" w:history="1">
        <w:r w:rsidR="00DB1EE0" w:rsidRPr="00DB1EE0">
          <w:rPr>
            <w:rStyle w:val="Hyperlink"/>
          </w:rPr>
          <w:t>Terrorism Act 2000</w:t>
        </w:r>
      </w:hyperlink>
    </w:p>
    <w:p w14:paraId="2E09E1C4" w14:textId="63F8DBA7" w:rsidR="00D74E5A" w:rsidRDefault="00992DD2" w:rsidP="00D74E5A">
      <w:pPr>
        <w:pStyle w:val="ListParagraph"/>
        <w:numPr>
          <w:ilvl w:val="1"/>
          <w:numId w:val="16"/>
        </w:numPr>
      </w:pPr>
      <w:hyperlink r:id="rId19" w:history="1">
        <w:r w:rsidR="00DB1EE0" w:rsidRPr="00DB1EE0">
          <w:rPr>
            <w:rStyle w:val="Hyperlink"/>
          </w:rPr>
          <w:t>Terrorism Act 2006</w:t>
        </w:r>
      </w:hyperlink>
    </w:p>
    <w:p w14:paraId="4C26F631" w14:textId="77777777" w:rsidR="00D74E5A" w:rsidRDefault="00D74E5A" w:rsidP="00D74E5A"/>
    <w:p w14:paraId="0DBF956A" w14:textId="77777777" w:rsidR="000B0111" w:rsidRDefault="000B0111" w:rsidP="000B0111">
      <w:r>
        <w:t>The Terrorism Act 2000 and the Terrorism Act 2006 create various offences relating to information, including:</w:t>
      </w:r>
    </w:p>
    <w:p w14:paraId="09D3AE4C" w14:textId="77777777" w:rsidR="000B0111" w:rsidRDefault="000B0111" w:rsidP="000B0111">
      <w:r>
        <w:t> Collecting information likely to be useful in the commission or preparation of an act of terrorism.</w:t>
      </w:r>
    </w:p>
    <w:p w14:paraId="18D24239" w14:textId="77777777" w:rsidR="000B0111" w:rsidRDefault="000B0111" w:rsidP="000B0111">
      <w:r>
        <w:t> Publishing statements which encourage or glorify terrorism.</w:t>
      </w:r>
    </w:p>
    <w:p w14:paraId="5543496A" w14:textId="77777777" w:rsidR="000B0111" w:rsidRDefault="000B0111" w:rsidP="000B0111">
      <w:r>
        <w:t> Disseminating terrorist publications.</w:t>
      </w:r>
    </w:p>
    <w:p w14:paraId="11645701" w14:textId="77777777" w:rsidR="000B0111" w:rsidRDefault="000B0111" w:rsidP="000B0111">
      <w:r>
        <w:t>The offences are subject to certain exemptions intended to allow legitimate use. Any use of material falling under the Terrorism Acts for legitimate research purposes must first be approved under the University’s research ethics procedures. Legal advice may be required.</w:t>
      </w:r>
    </w:p>
    <w:p w14:paraId="516A7FA1" w14:textId="77777777" w:rsidR="000B0111" w:rsidRDefault="000B0111" w:rsidP="000B0111">
      <w:r>
        <w:t xml:space="preserve">The </w:t>
      </w:r>
      <w:proofErr w:type="gramStart"/>
      <w:r>
        <w:t>Counter-Terrorism</w:t>
      </w:r>
      <w:proofErr w:type="gramEnd"/>
      <w:r>
        <w:t xml:space="preserve"> and Security Act 2015 places a duty on universities to have due regard to statutory guidance relating to the need to prevent individuals from being drawn into terrorism (the ‘Prevent Guidance’). The Prevent Guidance requires universities to have appropriate IT policies in place; to consider the use of web </w:t>
      </w:r>
      <w:r>
        <w:lastRenderedPageBreak/>
        <w:t>filtering to restrict access to harmful material; and to have policies for access to sensitive or extremism-related material for legitimate research purposes.</w:t>
      </w:r>
    </w:p>
    <w:p w14:paraId="7DAF1B27" w14:textId="77777777" w:rsidR="000B0111" w:rsidRDefault="000B0111" w:rsidP="000B0111"/>
    <w:p w14:paraId="41B194F0" w14:textId="77777777" w:rsidR="00D74E5A" w:rsidRDefault="00D74E5A" w:rsidP="00D74E5A">
      <w:pPr>
        <w:pStyle w:val="ListParagraph"/>
        <w:numPr>
          <w:ilvl w:val="0"/>
          <w:numId w:val="16"/>
        </w:numPr>
      </w:pPr>
      <w:r>
        <w:t>Protection of Children Act 1978 and the Criminal Justice Act 1988</w:t>
      </w:r>
    </w:p>
    <w:p w14:paraId="54AB9912" w14:textId="7DABD008" w:rsidR="00D74E5A" w:rsidRDefault="00992DD2" w:rsidP="002F117E">
      <w:pPr>
        <w:pStyle w:val="ListParagraph"/>
        <w:numPr>
          <w:ilvl w:val="1"/>
          <w:numId w:val="16"/>
        </w:numPr>
      </w:pPr>
      <w:hyperlink r:id="rId20" w:history="1">
        <w:r w:rsidR="00FD0971" w:rsidRPr="00FD0971">
          <w:rPr>
            <w:rStyle w:val="Hyperlink"/>
          </w:rPr>
          <w:t>Protection of Children Act 1978</w:t>
        </w:r>
      </w:hyperlink>
    </w:p>
    <w:p w14:paraId="561C383B" w14:textId="7E6540FD" w:rsidR="002F117E" w:rsidRDefault="00992DD2" w:rsidP="002F117E">
      <w:pPr>
        <w:pStyle w:val="ListParagraph"/>
        <w:numPr>
          <w:ilvl w:val="1"/>
          <w:numId w:val="16"/>
        </w:numPr>
      </w:pPr>
      <w:hyperlink r:id="rId21" w:history="1">
        <w:r w:rsidR="00FD0971" w:rsidRPr="00FD0971">
          <w:rPr>
            <w:rStyle w:val="Hyperlink"/>
          </w:rPr>
          <w:t>Criminal Justice Act 1988</w:t>
        </w:r>
      </w:hyperlink>
    </w:p>
    <w:p w14:paraId="13A61078" w14:textId="77777777" w:rsidR="002F117E" w:rsidRDefault="002F117E" w:rsidP="002F117E"/>
    <w:p w14:paraId="64D287AF" w14:textId="77777777" w:rsidR="00935B79" w:rsidRDefault="00935B79" w:rsidP="00935B79">
      <w:r>
        <w:t>These Acts penalize the possession of indecent photographs of children and the taking, making, showing, distribution, possessing with a view to distributing, and publishing any advertisement of indecent photographs of children. Downloading or printing indecent images of children from the internet is included.</w:t>
      </w:r>
    </w:p>
    <w:p w14:paraId="7BAC3856" w14:textId="77777777" w:rsidR="00935B79" w:rsidRDefault="00935B79" w:rsidP="00935B79">
      <w:r>
        <w:t>Any use of material falling under this legislation for legitimate research purposes must first be approved under the University’s research ethics procedures. Legal advice may be required.</w:t>
      </w:r>
    </w:p>
    <w:p w14:paraId="18FA2D70" w14:textId="77777777" w:rsidR="00935B79" w:rsidRDefault="00935B79" w:rsidP="00935B79"/>
    <w:p w14:paraId="50ADCE45" w14:textId="77777777" w:rsidR="002F117E" w:rsidRDefault="00341DE4" w:rsidP="00341DE4">
      <w:pPr>
        <w:pStyle w:val="ListParagraph"/>
        <w:numPr>
          <w:ilvl w:val="0"/>
          <w:numId w:val="16"/>
        </w:numPr>
      </w:pPr>
      <w:r>
        <w:t>General Data Protection Regulation 2018</w:t>
      </w:r>
    </w:p>
    <w:p w14:paraId="36CF09D4" w14:textId="6DD72610" w:rsidR="00341DE4" w:rsidRDefault="00992DD2" w:rsidP="00341DE4">
      <w:pPr>
        <w:pStyle w:val="ListParagraph"/>
        <w:numPr>
          <w:ilvl w:val="1"/>
          <w:numId w:val="16"/>
        </w:numPr>
      </w:pPr>
      <w:hyperlink r:id="rId22" w:history="1">
        <w:r w:rsidR="00FD0971" w:rsidRPr="00FD0971">
          <w:rPr>
            <w:rStyle w:val="Hyperlink"/>
          </w:rPr>
          <w:t>General Data Protection Regulation 2018</w:t>
        </w:r>
      </w:hyperlink>
    </w:p>
    <w:p w14:paraId="3FB8DEE9" w14:textId="77777777" w:rsidR="00341DE4" w:rsidRDefault="00341DE4" w:rsidP="00341DE4"/>
    <w:p w14:paraId="324C62C4" w14:textId="77777777" w:rsidR="00935B79" w:rsidRDefault="00935B79" w:rsidP="00341DE4">
      <w:r>
        <w:t>The GDPR sets down enforceable guidelines to:</w:t>
      </w:r>
    </w:p>
    <w:p w14:paraId="3775D60A" w14:textId="77777777" w:rsidR="00935B79" w:rsidRDefault="00935B79" w:rsidP="00935B79">
      <w:pPr>
        <w:pStyle w:val="ListParagraph"/>
        <w:numPr>
          <w:ilvl w:val="0"/>
          <w:numId w:val="16"/>
        </w:numPr>
      </w:pPr>
      <w:r>
        <w:t>Lawfulness, fairness and transparency</w:t>
      </w:r>
    </w:p>
    <w:p w14:paraId="3EA1197F" w14:textId="77777777" w:rsidR="00477CF4" w:rsidRDefault="00477CF4" w:rsidP="00477CF4">
      <w:pPr>
        <w:pStyle w:val="ListParagraph"/>
        <w:numPr>
          <w:ilvl w:val="1"/>
          <w:numId w:val="16"/>
        </w:numPr>
      </w:pPr>
      <w:r>
        <w:t>Including consent, contract and obligation.</w:t>
      </w:r>
    </w:p>
    <w:p w14:paraId="455BEB23" w14:textId="77777777" w:rsidR="00935B79" w:rsidRDefault="00935B79" w:rsidP="00935B79">
      <w:pPr>
        <w:pStyle w:val="ListParagraph"/>
        <w:numPr>
          <w:ilvl w:val="0"/>
          <w:numId w:val="16"/>
        </w:numPr>
      </w:pPr>
      <w:r>
        <w:t>Purpose Limitation</w:t>
      </w:r>
    </w:p>
    <w:p w14:paraId="72587AEC" w14:textId="77777777" w:rsidR="00935B79" w:rsidRDefault="00935B79" w:rsidP="00935B79">
      <w:pPr>
        <w:pStyle w:val="ListParagraph"/>
        <w:numPr>
          <w:ilvl w:val="0"/>
          <w:numId w:val="16"/>
        </w:numPr>
      </w:pPr>
      <w:r>
        <w:t>Data Minimisation / Controls and accountability.</w:t>
      </w:r>
    </w:p>
    <w:p w14:paraId="4770AE70" w14:textId="77777777" w:rsidR="00935B79" w:rsidRDefault="00935B79" w:rsidP="00935B79">
      <w:pPr>
        <w:pStyle w:val="ListParagraph"/>
        <w:numPr>
          <w:ilvl w:val="0"/>
          <w:numId w:val="16"/>
        </w:numPr>
      </w:pPr>
      <w:r>
        <w:t>Data Accuracy</w:t>
      </w:r>
    </w:p>
    <w:p w14:paraId="48E0DE85" w14:textId="77777777" w:rsidR="00935B79" w:rsidRDefault="00477CF4" w:rsidP="00935B79">
      <w:pPr>
        <w:pStyle w:val="ListParagraph"/>
        <w:numPr>
          <w:ilvl w:val="0"/>
          <w:numId w:val="16"/>
        </w:numPr>
      </w:pPr>
      <w:r>
        <w:t>Data Storage Limitations</w:t>
      </w:r>
    </w:p>
    <w:p w14:paraId="75C57A5E" w14:textId="77777777" w:rsidR="00477CF4" w:rsidRDefault="00477CF4" w:rsidP="00935B79">
      <w:pPr>
        <w:pStyle w:val="ListParagraph"/>
        <w:numPr>
          <w:ilvl w:val="0"/>
          <w:numId w:val="16"/>
        </w:numPr>
      </w:pPr>
      <w:r>
        <w:t>Integrity and confidentiality. Security</w:t>
      </w:r>
    </w:p>
    <w:p w14:paraId="33F45120" w14:textId="77777777" w:rsidR="00477CF4" w:rsidRDefault="00477CF4" w:rsidP="00935B79">
      <w:pPr>
        <w:pStyle w:val="ListParagraph"/>
        <w:numPr>
          <w:ilvl w:val="0"/>
          <w:numId w:val="16"/>
        </w:numPr>
      </w:pPr>
      <w:r>
        <w:t>Overall Accountability and Individual Rights</w:t>
      </w:r>
    </w:p>
    <w:p w14:paraId="3ED8FE89" w14:textId="77777777" w:rsidR="00477CF4" w:rsidRDefault="00477CF4" w:rsidP="00477CF4">
      <w:pPr>
        <w:pStyle w:val="ListParagraph"/>
        <w:numPr>
          <w:ilvl w:val="1"/>
          <w:numId w:val="16"/>
        </w:numPr>
      </w:pPr>
      <w:proofErr w:type="spellStart"/>
      <w:r>
        <w:t>Right</w:t>
      </w:r>
      <w:proofErr w:type="spellEnd"/>
      <w:r>
        <w:t xml:space="preserve"> to:</w:t>
      </w:r>
    </w:p>
    <w:p w14:paraId="25A9934E" w14:textId="77777777" w:rsidR="00477CF4" w:rsidRDefault="00477CF4" w:rsidP="00477CF4">
      <w:pPr>
        <w:pStyle w:val="ListParagraph"/>
        <w:numPr>
          <w:ilvl w:val="2"/>
          <w:numId w:val="16"/>
        </w:numPr>
      </w:pPr>
      <w:r>
        <w:t>Be informed</w:t>
      </w:r>
      <w:r w:rsidR="009E32A3">
        <w:t xml:space="preserve"> of data (and content)</w:t>
      </w:r>
    </w:p>
    <w:p w14:paraId="7584E063" w14:textId="77777777" w:rsidR="00477CF4" w:rsidRDefault="00477CF4" w:rsidP="00477CF4">
      <w:pPr>
        <w:pStyle w:val="ListParagraph"/>
        <w:numPr>
          <w:ilvl w:val="2"/>
          <w:numId w:val="16"/>
        </w:numPr>
      </w:pPr>
      <w:r>
        <w:t>Access</w:t>
      </w:r>
      <w:r w:rsidR="009E32A3">
        <w:t xml:space="preserve"> to all data</w:t>
      </w:r>
    </w:p>
    <w:p w14:paraId="05A139FE" w14:textId="77777777" w:rsidR="00477CF4" w:rsidRDefault="00477CF4" w:rsidP="00477CF4">
      <w:pPr>
        <w:pStyle w:val="ListParagraph"/>
        <w:numPr>
          <w:ilvl w:val="2"/>
          <w:numId w:val="16"/>
        </w:numPr>
      </w:pPr>
      <w:r>
        <w:t>Rectification</w:t>
      </w:r>
      <w:r w:rsidR="009E32A3">
        <w:t xml:space="preserve"> (data errors)</w:t>
      </w:r>
    </w:p>
    <w:p w14:paraId="153A7ADA" w14:textId="77777777" w:rsidR="00477CF4" w:rsidRDefault="00477CF4" w:rsidP="00477CF4">
      <w:pPr>
        <w:pStyle w:val="ListParagraph"/>
        <w:numPr>
          <w:ilvl w:val="2"/>
          <w:numId w:val="16"/>
        </w:numPr>
      </w:pPr>
      <w:r>
        <w:t>Erasure</w:t>
      </w:r>
      <w:r w:rsidR="009E32A3">
        <w:t xml:space="preserve"> of all non-legal data</w:t>
      </w:r>
    </w:p>
    <w:p w14:paraId="7F87ABCC" w14:textId="77777777" w:rsidR="00477CF4" w:rsidRDefault="00477CF4" w:rsidP="00477CF4">
      <w:pPr>
        <w:pStyle w:val="ListParagraph"/>
        <w:numPr>
          <w:ilvl w:val="2"/>
          <w:numId w:val="16"/>
        </w:numPr>
      </w:pPr>
      <w:r>
        <w:t>Restrict processing</w:t>
      </w:r>
    </w:p>
    <w:p w14:paraId="12D6B091" w14:textId="77777777" w:rsidR="00477CF4" w:rsidRDefault="00477CF4" w:rsidP="00477CF4">
      <w:pPr>
        <w:pStyle w:val="ListParagraph"/>
        <w:numPr>
          <w:ilvl w:val="2"/>
          <w:numId w:val="16"/>
        </w:numPr>
      </w:pPr>
      <w:r>
        <w:t xml:space="preserve">Data </w:t>
      </w:r>
      <w:r w:rsidR="009E32A3">
        <w:t>portability</w:t>
      </w:r>
    </w:p>
    <w:p w14:paraId="51405D1A" w14:textId="77777777" w:rsidR="00477CF4" w:rsidRDefault="00477CF4" w:rsidP="00477CF4">
      <w:pPr>
        <w:pStyle w:val="ListParagraph"/>
        <w:numPr>
          <w:ilvl w:val="2"/>
          <w:numId w:val="16"/>
        </w:numPr>
      </w:pPr>
      <w:r>
        <w:t>Object</w:t>
      </w:r>
      <w:r w:rsidR="009E32A3">
        <w:t xml:space="preserve"> (Data purpose)</w:t>
      </w:r>
    </w:p>
    <w:p w14:paraId="2D4091A7" w14:textId="77777777" w:rsidR="00477CF4" w:rsidRDefault="009E32A3" w:rsidP="00477CF4">
      <w:pPr>
        <w:pStyle w:val="ListParagraph"/>
        <w:numPr>
          <w:ilvl w:val="2"/>
          <w:numId w:val="16"/>
        </w:numPr>
      </w:pPr>
      <w:r>
        <w:t xml:space="preserve">Any automated decision processes including, but not limited to, profiling. </w:t>
      </w:r>
    </w:p>
    <w:p w14:paraId="21207A07" w14:textId="77777777" w:rsidR="00477CF4" w:rsidRPr="00AF1A84" w:rsidRDefault="00477CF4" w:rsidP="00477CF4"/>
    <w:p w14:paraId="75F62785" w14:textId="77777777" w:rsidR="004E0EB7" w:rsidRDefault="004E0EB7" w:rsidP="000F1ED5">
      <w:pPr>
        <w:pStyle w:val="Heading1"/>
      </w:pPr>
      <w:bookmarkStart w:id="64" w:name="_Toc20388180"/>
      <w:r>
        <w:t>Exceptions Process</w:t>
      </w:r>
      <w:bookmarkEnd w:id="54"/>
      <w:bookmarkEnd w:id="64"/>
    </w:p>
    <w:p w14:paraId="7F57165E" w14:textId="77777777" w:rsidR="000C4446" w:rsidRDefault="000C4446" w:rsidP="004E0EB7"/>
    <w:p w14:paraId="4B021A7F" w14:textId="77777777" w:rsidR="004E0EB7" w:rsidRDefault="009E32A3">
      <w:pPr>
        <w:widowControl/>
        <w:suppressAutoHyphens w:val="0"/>
      </w:pPr>
      <w:r>
        <w:t>There are no exceptions to this policy</w:t>
      </w:r>
      <w:r w:rsidR="004E0EB7">
        <w:br w:type="page"/>
      </w:r>
    </w:p>
    <w:p w14:paraId="2ABF47D7" w14:textId="77777777" w:rsidR="004E0EB7" w:rsidRDefault="004E0EB7" w:rsidP="000F1ED5">
      <w:pPr>
        <w:pStyle w:val="Heading1"/>
      </w:pPr>
      <w:bookmarkStart w:id="65" w:name="_Toc425166329"/>
      <w:bookmarkStart w:id="66" w:name="_Toc20388181"/>
      <w:r>
        <w:lastRenderedPageBreak/>
        <w:t>Changes and Disputes</w:t>
      </w:r>
      <w:bookmarkEnd w:id="65"/>
      <w:bookmarkEnd w:id="66"/>
    </w:p>
    <w:p w14:paraId="0733C472" w14:textId="77777777" w:rsidR="004E0EB7" w:rsidRPr="004E0EB7" w:rsidRDefault="000C4446" w:rsidP="000F1ED5">
      <w:pPr>
        <w:pStyle w:val="Heading3"/>
      </w:pPr>
      <w:bookmarkStart w:id="67" w:name="_Toc377374955"/>
      <w:bookmarkStart w:id="68" w:name="_Toc425165732"/>
      <w:bookmarkStart w:id="69" w:name="_Toc425165781"/>
      <w:bookmarkStart w:id="70" w:name="_Toc425166330"/>
      <w:bookmarkStart w:id="71" w:name="_Toc20388182"/>
      <w:r>
        <w:t>5</w:t>
      </w:r>
      <w:r w:rsidR="004E0EB7">
        <w:t>.1</w:t>
      </w:r>
      <w:r w:rsidR="004E0EB7">
        <w:tab/>
      </w:r>
      <w:r w:rsidR="004E0EB7" w:rsidRPr="004E0EB7">
        <w:t>Changes</w:t>
      </w:r>
      <w:bookmarkEnd w:id="67"/>
      <w:bookmarkEnd w:id="68"/>
      <w:bookmarkEnd w:id="69"/>
      <w:bookmarkEnd w:id="70"/>
      <w:bookmarkEnd w:id="71"/>
    </w:p>
    <w:p w14:paraId="68040BE0" w14:textId="77777777" w:rsidR="004E0EB7" w:rsidRDefault="004E0EB7" w:rsidP="004E0EB7">
      <w:r w:rsidRPr="00BF5A7F">
        <w:t xml:space="preserve">This policy is maintained by </w:t>
      </w:r>
      <w:r w:rsidR="00A45B67">
        <w:t>IT</w:t>
      </w:r>
      <w:r>
        <w:t>S Infrastructure department</w:t>
      </w:r>
      <w:r w:rsidRPr="00BF5A7F">
        <w:t>.  Requests to change the policy should be made</w:t>
      </w:r>
      <w:r>
        <w:t xml:space="preserve"> to the </w:t>
      </w:r>
      <w:r w:rsidR="00A45B67">
        <w:t>Director of ITS</w:t>
      </w:r>
    </w:p>
    <w:p w14:paraId="7E486EA2" w14:textId="77777777" w:rsidR="004E0EB7" w:rsidRDefault="004E0EB7" w:rsidP="004E0EB7"/>
    <w:p w14:paraId="3BC92A06" w14:textId="77777777" w:rsidR="004E0EB7" w:rsidRPr="00BF5A7F" w:rsidRDefault="004E0EB7" w:rsidP="000C4446">
      <w:r w:rsidRPr="00BF5A7F">
        <w:t>Changes to this policy will only be accepted after submission to the Change Advisory Board.</w:t>
      </w:r>
    </w:p>
    <w:p w14:paraId="2F5DF4AF" w14:textId="77777777" w:rsidR="004E0EB7" w:rsidRPr="00BF5A7F" w:rsidRDefault="004E0EB7" w:rsidP="004E0EB7"/>
    <w:p w14:paraId="4280A282" w14:textId="77777777" w:rsidR="004E0EB7" w:rsidRPr="004E0EB7" w:rsidRDefault="000C4446" w:rsidP="000F1ED5">
      <w:pPr>
        <w:pStyle w:val="Heading3"/>
      </w:pPr>
      <w:bookmarkStart w:id="72" w:name="_Toc377374956"/>
      <w:bookmarkStart w:id="73" w:name="_Toc425165733"/>
      <w:bookmarkStart w:id="74" w:name="_Toc425165782"/>
      <w:bookmarkStart w:id="75" w:name="_Toc425166331"/>
      <w:bookmarkStart w:id="76" w:name="_Toc20388183"/>
      <w:r>
        <w:t>5</w:t>
      </w:r>
      <w:r w:rsidR="004E0EB7">
        <w:t>.2</w:t>
      </w:r>
      <w:r w:rsidR="004E0EB7">
        <w:tab/>
      </w:r>
      <w:r w:rsidR="004E0EB7" w:rsidRPr="004E0EB7">
        <w:t>Disputes</w:t>
      </w:r>
      <w:bookmarkEnd w:id="72"/>
      <w:bookmarkEnd w:id="73"/>
      <w:bookmarkEnd w:id="74"/>
      <w:bookmarkEnd w:id="75"/>
      <w:bookmarkEnd w:id="76"/>
    </w:p>
    <w:p w14:paraId="5BE73343" w14:textId="77777777" w:rsidR="004E0EB7" w:rsidRPr="00BF5A7F" w:rsidRDefault="004E0EB7" w:rsidP="004E0EB7">
      <w:r w:rsidRPr="00BF5A7F">
        <w:t xml:space="preserve">Any dispute concerning </w:t>
      </w:r>
      <w:r w:rsidR="00C41DCE">
        <w:t xml:space="preserve">this </w:t>
      </w:r>
      <w:r w:rsidRPr="00BF5A7F">
        <w:t xml:space="preserve">policy should be made </w:t>
      </w:r>
      <w:r w:rsidR="00C41DCE">
        <w:t>in writing to the Director of IT</w:t>
      </w:r>
      <w:r w:rsidRPr="00BF5A7F">
        <w:t>S.</w:t>
      </w:r>
    </w:p>
    <w:p w14:paraId="4FA6699B" w14:textId="77777777" w:rsidR="004E0EB7" w:rsidRPr="00B54AAE" w:rsidRDefault="004E0EB7" w:rsidP="00B54AAE">
      <w:pPr>
        <w:widowControl/>
        <w:suppressAutoHyphens w:val="0"/>
        <w:rPr>
          <w:b/>
          <w:bCs/>
          <w:sz w:val="28"/>
          <w:szCs w:val="28"/>
        </w:rPr>
      </w:pPr>
    </w:p>
    <w:sectPr w:rsidR="004E0EB7" w:rsidRPr="00B54AAE" w:rsidSect="007C4803">
      <w:footerReference w:type="default" r:id="rId23"/>
      <w:headerReference w:type="first" r:id="rId24"/>
      <w:footerReference w:type="first" r:id="rId25"/>
      <w:pgSz w:w="11900" w:h="16840"/>
      <w:pgMar w:top="1440" w:right="1440" w:bottom="1440" w:left="1440" w:header="198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72024" w14:textId="77777777" w:rsidR="00992DD2" w:rsidRDefault="00992DD2" w:rsidP="00A45B66">
      <w:r>
        <w:separator/>
      </w:r>
    </w:p>
  </w:endnote>
  <w:endnote w:type="continuationSeparator" w:id="0">
    <w:p w14:paraId="1A504D83" w14:textId="77777777" w:rsidR="00992DD2" w:rsidRDefault="00992DD2" w:rsidP="00A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䱑轓ꑠ䩒羾"/>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3428" w14:textId="77777777" w:rsidR="00F37022" w:rsidRPr="00211776" w:rsidRDefault="00F37022" w:rsidP="007C4803">
    <w:pPr>
      <w:pStyle w:val="Footer"/>
      <w:jc w:val="center"/>
      <w:rPr>
        <w:rStyle w:val="PageNumber"/>
        <w:rFonts w:ascii="Arial" w:hAnsi="Arial" w:cs="Arial"/>
        <w:sz w:val="20"/>
        <w:szCs w:val="20"/>
      </w:rPr>
    </w:pPr>
    <w:r w:rsidRPr="00211776">
      <w:rPr>
        <w:rStyle w:val="PageNumber"/>
        <w:rFonts w:ascii="Arial" w:hAnsi="Arial" w:cs="Arial"/>
        <w:sz w:val="20"/>
        <w:szCs w:val="20"/>
      </w:rPr>
      <w:fldChar w:fldCharType="begin"/>
    </w:r>
    <w:r w:rsidRPr="00211776">
      <w:rPr>
        <w:rStyle w:val="PageNumber"/>
        <w:rFonts w:ascii="Arial" w:hAnsi="Arial" w:cs="Arial"/>
        <w:sz w:val="20"/>
        <w:szCs w:val="20"/>
      </w:rPr>
      <w:instrText xml:space="preserve">PAGE  </w:instrText>
    </w:r>
    <w:r w:rsidRPr="00211776">
      <w:rPr>
        <w:rStyle w:val="PageNumber"/>
        <w:rFonts w:ascii="Arial" w:hAnsi="Arial" w:cs="Arial"/>
        <w:sz w:val="20"/>
        <w:szCs w:val="20"/>
      </w:rPr>
      <w:fldChar w:fldCharType="separate"/>
    </w:r>
    <w:r w:rsidR="00ED1170">
      <w:rPr>
        <w:rStyle w:val="PageNumber"/>
        <w:rFonts w:ascii="Arial" w:hAnsi="Arial" w:cs="Arial"/>
        <w:noProof/>
        <w:sz w:val="20"/>
        <w:szCs w:val="20"/>
      </w:rPr>
      <w:t>4</w:t>
    </w:r>
    <w:r w:rsidRPr="00211776">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5E1E" w14:textId="77777777" w:rsidR="00F37022" w:rsidRPr="00D636B0" w:rsidRDefault="00F37022" w:rsidP="00D636B0">
    <w:pPr>
      <w:pStyle w:val="Footer"/>
      <w:spacing w:before="600"/>
      <w:ind w:left="-425"/>
      <w:rPr>
        <w:rFonts w:ascii="Arial" w:hAnsi="Arial" w:cs="Arial"/>
        <w:sz w:val="14"/>
        <w:szCs w:val="14"/>
      </w:rPr>
    </w:pPr>
    <w:r w:rsidRPr="00D636B0">
      <w:rPr>
        <w:rFonts w:ascii="Arial" w:hAnsi="Arial" w:cs="Arial"/>
        <w:sz w:val="14"/>
        <w:szCs w:val="14"/>
      </w:rPr>
      <w:t>London Metropolitan University | Tower Building | 166–220 Holloway Road | London N7 8DB</w:t>
    </w:r>
  </w:p>
  <w:p w14:paraId="1E898C9A" w14:textId="77777777" w:rsidR="00F37022" w:rsidRPr="00D636B0" w:rsidRDefault="00F37022" w:rsidP="00D636B0">
    <w:pPr>
      <w:pStyle w:val="Footer"/>
      <w:spacing w:before="20" w:after="60"/>
      <w:ind w:left="-425"/>
      <w:rPr>
        <w:rFonts w:ascii="Arial" w:hAnsi="Arial" w:cs="Arial"/>
        <w:sz w:val="14"/>
        <w:szCs w:val="14"/>
      </w:rPr>
    </w:pPr>
    <w:r w:rsidRPr="00D636B0">
      <w:rPr>
        <w:rFonts w:ascii="Arial" w:hAnsi="Arial" w:cs="Arial"/>
        <w:sz w:val="14"/>
        <w:szCs w:val="14"/>
      </w:rPr>
      <w:t>Switchboard: +44 (0)20 7423 0000 | londonmet.ac.uk</w:t>
    </w:r>
  </w:p>
  <w:p w14:paraId="1DE3B269" w14:textId="77777777" w:rsidR="00F37022" w:rsidRPr="00D636B0" w:rsidRDefault="00F37022" w:rsidP="00D636B0">
    <w:pPr>
      <w:pStyle w:val="Footer"/>
      <w:ind w:left="-425" w:right="-194"/>
      <w:rPr>
        <w:rFonts w:ascii="Arial" w:hAnsi="Arial" w:cs="Arial"/>
        <w:sz w:val="12"/>
        <w:szCs w:val="10"/>
      </w:rPr>
    </w:pPr>
    <w:r w:rsidRPr="00D636B0">
      <w:rPr>
        <w:rFonts w:ascii="Arial" w:hAnsi="Arial" w:cs="Arial"/>
        <w:sz w:val="12"/>
        <w:szCs w:val="10"/>
      </w:rPr>
      <w:t>London Metropolitan University is a limited company registered in England and Wales with registered number 974438 and VAT registered number GB 447 2190 51. Our registered office is at 166–220 Holloway Road, London N7 8DB. London Metropolitan University is an exempt charity under the Charities Act 2011. Its registration number with HMRC is X6880.</w:t>
    </w:r>
  </w:p>
  <w:p w14:paraId="43401E0B" w14:textId="77777777" w:rsidR="00F37022" w:rsidRDefault="00F3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E960" w14:textId="77777777" w:rsidR="00992DD2" w:rsidRDefault="00992DD2" w:rsidP="00A45B66">
      <w:r>
        <w:separator/>
      </w:r>
    </w:p>
  </w:footnote>
  <w:footnote w:type="continuationSeparator" w:id="0">
    <w:p w14:paraId="3C850BA6" w14:textId="77777777" w:rsidR="00992DD2" w:rsidRDefault="00992DD2" w:rsidP="00A4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EF56" w14:textId="77777777" w:rsidR="00F37022" w:rsidRDefault="00F37022">
    <w:pPr>
      <w:pStyle w:val="Header"/>
    </w:pPr>
    <w:r>
      <w:rPr>
        <w:noProof/>
        <w:lang w:val="en-GB" w:eastAsia="en-GB"/>
      </w:rPr>
      <w:drawing>
        <wp:anchor distT="0" distB="0" distL="114300" distR="114300" simplePos="0" relativeHeight="251659264" behindDoc="0" locked="0" layoutInCell="1" allowOverlap="1" wp14:anchorId="0F156FAC" wp14:editId="4469D547">
          <wp:simplePos x="0" y="0"/>
          <wp:positionH relativeFrom="page">
            <wp:posOffset>629920</wp:posOffset>
          </wp:positionH>
          <wp:positionV relativeFrom="page">
            <wp:posOffset>575945</wp:posOffset>
          </wp:positionV>
          <wp:extent cx="2160905" cy="554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6738"/>
    <w:multiLevelType w:val="hybridMultilevel"/>
    <w:tmpl w:val="4530AE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122BD"/>
    <w:multiLevelType w:val="hybridMultilevel"/>
    <w:tmpl w:val="BF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E7CA1"/>
    <w:multiLevelType w:val="multilevel"/>
    <w:tmpl w:val="50009F7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FC74C1"/>
    <w:multiLevelType w:val="hybridMultilevel"/>
    <w:tmpl w:val="CF44E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4195B"/>
    <w:multiLevelType w:val="hybridMultilevel"/>
    <w:tmpl w:val="4F5837A6"/>
    <w:lvl w:ilvl="0" w:tplc="08090001">
      <w:start w:val="1"/>
      <w:numFmt w:val="bullet"/>
      <w:lvlText w:val=""/>
      <w:lvlJc w:val="left"/>
      <w:pPr>
        <w:ind w:left="720" w:hanging="360"/>
      </w:pPr>
      <w:rPr>
        <w:rFonts w:ascii="Symbol" w:hAnsi="Symbol" w:hint="default"/>
      </w:rPr>
    </w:lvl>
    <w:lvl w:ilvl="1" w:tplc="64A0AFF6">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A6C85"/>
    <w:multiLevelType w:val="hybridMultilevel"/>
    <w:tmpl w:val="EED89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E1510D"/>
    <w:multiLevelType w:val="hybridMultilevel"/>
    <w:tmpl w:val="5B86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1446B"/>
    <w:multiLevelType w:val="hybridMultilevel"/>
    <w:tmpl w:val="49B6595E"/>
    <w:lvl w:ilvl="0" w:tplc="B65EB16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D54AF0"/>
    <w:multiLevelType w:val="hybridMultilevel"/>
    <w:tmpl w:val="0DD4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96E2B"/>
    <w:multiLevelType w:val="hybridMultilevel"/>
    <w:tmpl w:val="59E65BC4"/>
    <w:lvl w:ilvl="0" w:tplc="9744840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30229"/>
    <w:multiLevelType w:val="hybridMultilevel"/>
    <w:tmpl w:val="212027F0"/>
    <w:lvl w:ilvl="0" w:tplc="8970FD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C4208"/>
    <w:multiLevelType w:val="hybridMultilevel"/>
    <w:tmpl w:val="40489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25474F"/>
    <w:multiLevelType w:val="hybridMultilevel"/>
    <w:tmpl w:val="B6F4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513FA"/>
    <w:multiLevelType w:val="hybridMultilevel"/>
    <w:tmpl w:val="41BC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17511"/>
    <w:multiLevelType w:val="hybridMultilevel"/>
    <w:tmpl w:val="9FFA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4"/>
  </w:num>
  <w:num w:numId="5">
    <w:abstractNumId w:val="13"/>
  </w:num>
  <w:num w:numId="6">
    <w:abstractNumId w:val="0"/>
  </w:num>
  <w:num w:numId="7">
    <w:abstractNumId w:val="8"/>
  </w:num>
  <w:num w:numId="8">
    <w:abstractNumId w:val="5"/>
  </w:num>
  <w:num w:numId="9">
    <w:abstractNumId w:val="3"/>
  </w:num>
  <w:num w:numId="10">
    <w:abstractNumId w:val="6"/>
  </w:num>
  <w:num w:numId="11">
    <w:abstractNumId w:val="4"/>
  </w:num>
  <w:num w:numId="12">
    <w:abstractNumId w:val="12"/>
  </w:num>
  <w:num w:numId="13">
    <w:abstractNumId w:val="2"/>
  </w:num>
  <w:num w:numId="14">
    <w:abstractNumId w:val="2"/>
    <w:lvlOverride w:ilvl="0">
      <w:startOverride w:val="1"/>
    </w:lvlOverride>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AE"/>
    <w:rsid w:val="00024559"/>
    <w:rsid w:val="00073996"/>
    <w:rsid w:val="000B0111"/>
    <w:rsid w:val="000C4446"/>
    <w:rsid w:val="000E1A84"/>
    <w:rsid w:val="000F1ED5"/>
    <w:rsid w:val="00111BCA"/>
    <w:rsid w:val="00143E2E"/>
    <w:rsid w:val="00154CAE"/>
    <w:rsid w:val="0016121F"/>
    <w:rsid w:val="001856E2"/>
    <w:rsid w:val="0019035B"/>
    <w:rsid w:val="001929B8"/>
    <w:rsid w:val="001E277E"/>
    <w:rsid w:val="001E519D"/>
    <w:rsid w:val="001F2D53"/>
    <w:rsid w:val="00200648"/>
    <w:rsid w:val="00200EEF"/>
    <w:rsid w:val="00211776"/>
    <w:rsid w:val="002575B2"/>
    <w:rsid w:val="0026214C"/>
    <w:rsid w:val="00272273"/>
    <w:rsid w:val="0027285B"/>
    <w:rsid w:val="002C081E"/>
    <w:rsid w:val="002D6B6E"/>
    <w:rsid w:val="002E1836"/>
    <w:rsid w:val="002F117E"/>
    <w:rsid w:val="00301517"/>
    <w:rsid w:val="00341DE4"/>
    <w:rsid w:val="0037743F"/>
    <w:rsid w:val="003B4F92"/>
    <w:rsid w:val="003C093F"/>
    <w:rsid w:val="003C70E8"/>
    <w:rsid w:val="003D3225"/>
    <w:rsid w:val="003D49CC"/>
    <w:rsid w:val="003E6032"/>
    <w:rsid w:val="003F27C2"/>
    <w:rsid w:val="003F56AC"/>
    <w:rsid w:val="003F7566"/>
    <w:rsid w:val="00401890"/>
    <w:rsid w:val="00403F82"/>
    <w:rsid w:val="00472CBF"/>
    <w:rsid w:val="00474986"/>
    <w:rsid w:val="00477CF4"/>
    <w:rsid w:val="0048675A"/>
    <w:rsid w:val="004C0BF7"/>
    <w:rsid w:val="004C7784"/>
    <w:rsid w:val="004C7ABA"/>
    <w:rsid w:val="004E0EB7"/>
    <w:rsid w:val="004F0FBF"/>
    <w:rsid w:val="00516938"/>
    <w:rsid w:val="00545713"/>
    <w:rsid w:val="00563916"/>
    <w:rsid w:val="005F322C"/>
    <w:rsid w:val="005F3281"/>
    <w:rsid w:val="0062129C"/>
    <w:rsid w:val="00664078"/>
    <w:rsid w:val="006A249C"/>
    <w:rsid w:val="006B08F8"/>
    <w:rsid w:val="006C659F"/>
    <w:rsid w:val="006D588F"/>
    <w:rsid w:val="00732842"/>
    <w:rsid w:val="007432C2"/>
    <w:rsid w:val="00767320"/>
    <w:rsid w:val="007B4D4F"/>
    <w:rsid w:val="007C4803"/>
    <w:rsid w:val="007D7BD7"/>
    <w:rsid w:val="00811106"/>
    <w:rsid w:val="00827B1B"/>
    <w:rsid w:val="00832923"/>
    <w:rsid w:val="00851C1B"/>
    <w:rsid w:val="008B3C32"/>
    <w:rsid w:val="008B70FB"/>
    <w:rsid w:val="008F680B"/>
    <w:rsid w:val="009047DB"/>
    <w:rsid w:val="00912ECF"/>
    <w:rsid w:val="00917CBA"/>
    <w:rsid w:val="00935B79"/>
    <w:rsid w:val="009433E5"/>
    <w:rsid w:val="00980F8B"/>
    <w:rsid w:val="00992DD2"/>
    <w:rsid w:val="009C7322"/>
    <w:rsid w:val="009D07CB"/>
    <w:rsid w:val="009D180B"/>
    <w:rsid w:val="009E32A3"/>
    <w:rsid w:val="009E353C"/>
    <w:rsid w:val="00A05C65"/>
    <w:rsid w:val="00A0773A"/>
    <w:rsid w:val="00A41A21"/>
    <w:rsid w:val="00A45B66"/>
    <w:rsid w:val="00A45B67"/>
    <w:rsid w:val="00A608DF"/>
    <w:rsid w:val="00AA34C7"/>
    <w:rsid w:val="00AC1288"/>
    <w:rsid w:val="00AC4AF0"/>
    <w:rsid w:val="00AF1A84"/>
    <w:rsid w:val="00B4273C"/>
    <w:rsid w:val="00B501D3"/>
    <w:rsid w:val="00B54791"/>
    <w:rsid w:val="00B54AAE"/>
    <w:rsid w:val="00B62AFB"/>
    <w:rsid w:val="00B84CD5"/>
    <w:rsid w:val="00B947F3"/>
    <w:rsid w:val="00BE541D"/>
    <w:rsid w:val="00C1253E"/>
    <w:rsid w:val="00C130F6"/>
    <w:rsid w:val="00C35AEE"/>
    <w:rsid w:val="00C41DCE"/>
    <w:rsid w:val="00CA4D89"/>
    <w:rsid w:val="00CF0370"/>
    <w:rsid w:val="00CF1457"/>
    <w:rsid w:val="00CF5394"/>
    <w:rsid w:val="00D205AD"/>
    <w:rsid w:val="00D34359"/>
    <w:rsid w:val="00D4077F"/>
    <w:rsid w:val="00D53F7C"/>
    <w:rsid w:val="00D54D2C"/>
    <w:rsid w:val="00D636B0"/>
    <w:rsid w:val="00D67D69"/>
    <w:rsid w:val="00D74E5A"/>
    <w:rsid w:val="00DB1EE0"/>
    <w:rsid w:val="00DC4817"/>
    <w:rsid w:val="00DD4685"/>
    <w:rsid w:val="00E51145"/>
    <w:rsid w:val="00E546FE"/>
    <w:rsid w:val="00E73757"/>
    <w:rsid w:val="00E756D5"/>
    <w:rsid w:val="00E85E59"/>
    <w:rsid w:val="00E927CD"/>
    <w:rsid w:val="00E95B5F"/>
    <w:rsid w:val="00EC24FC"/>
    <w:rsid w:val="00ED1170"/>
    <w:rsid w:val="00ED3C9E"/>
    <w:rsid w:val="00F37022"/>
    <w:rsid w:val="00F61AD0"/>
    <w:rsid w:val="00F75AF4"/>
    <w:rsid w:val="00FA7D65"/>
    <w:rsid w:val="00FB338A"/>
    <w:rsid w:val="00FD09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A01E3"/>
  <w14:defaultImageDpi w14:val="300"/>
  <w15:docId w15:val="{2483BD4F-7FF3-4FCB-BC97-8B6DD190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03"/>
    <w:pPr>
      <w:widowControl w:val="0"/>
      <w:suppressAutoHyphens/>
    </w:pPr>
    <w:rPr>
      <w:rFonts w:ascii="Arial" w:eastAsia="Times New Roman" w:hAnsi="Arial" w:cs="Arial"/>
      <w:snapToGrid w:val="0"/>
      <w:szCs w:val="20"/>
      <w:lang w:val="en-GB"/>
    </w:rPr>
  </w:style>
  <w:style w:type="paragraph" w:styleId="Heading1">
    <w:name w:val="heading 1"/>
    <w:basedOn w:val="Heading2"/>
    <w:next w:val="Normal"/>
    <w:link w:val="Heading1Char"/>
    <w:uiPriority w:val="9"/>
    <w:qFormat/>
    <w:rsid w:val="00B54AAE"/>
    <w:pPr>
      <w:numPr>
        <w:numId w:val="13"/>
      </w:numPr>
      <w:ind w:left="0" w:firstLine="0"/>
      <w:outlineLvl w:val="0"/>
    </w:pPr>
    <w:rPr>
      <w:sz w:val="28"/>
      <w:szCs w:val="28"/>
    </w:rPr>
  </w:style>
  <w:style w:type="paragraph" w:styleId="Heading2">
    <w:name w:val="heading 2"/>
    <w:basedOn w:val="Heading3"/>
    <w:next w:val="Normal"/>
    <w:link w:val="Heading2Char"/>
    <w:rsid w:val="007C4803"/>
    <w:pPr>
      <w:outlineLvl w:val="1"/>
    </w:pPr>
    <w:rPr>
      <w:sz w:val="32"/>
    </w:rPr>
  </w:style>
  <w:style w:type="paragraph" w:styleId="Heading3">
    <w:name w:val="heading 3"/>
    <w:basedOn w:val="Normal"/>
    <w:next w:val="Normal"/>
    <w:link w:val="Heading3Char"/>
    <w:uiPriority w:val="9"/>
    <w:unhideWhenUsed/>
    <w:qFormat/>
    <w:rsid w:val="007C4803"/>
    <w:pPr>
      <w:outlineLvl w:val="2"/>
    </w:pPr>
    <w:rPr>
      <w:b/>
      <w:bCs/>
    </w:rPr>
  </w:style>
  <w:style w:type="paragraph" w:styleId="Heading8">
    <w:name w:val="heading 8"/>
    <w:basedOn w:val="Normal"/>
    <w:next w:val="Normal"/>
    <w:link w:val="Heading8Char"/>
    <w:uiPriority w:val="9"/>
    <w:semiHidden/>
    <w:unhideWhenUsed/>
    <w:qFormat/>
    <w:rsid w:val="004E0E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qFormat/>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4AAE"/>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qFormat/>
    <w:rsid w:val="00A45B66"/>
  </w:style>
  <w:style w:type="paragraph" w:styleId="Title">
    <w:name w:val="Title"/>
    <w:basedOn w:val="Heading1"/>
    <w:next w:val="Normal"/>
    <w:link w:val="TitleChar"/>
    <w:uiPriority w:val="10"/>
    <w:qFormat/>
    <w:rsid w:val="00B84CD5"/>
    <w:rPr>
      <w:sz w:val="56"/>
      <w:szCs w:val="32"/>
    </w:rPr>
  </w:style>
  <w:style w:type="character" w:customStyle="1" w:styleId="TitleChar">
    <w:name w:val="Title Char"/>
    <w:basedOn w:val="DefaultParagraphFont"/>
    <w:link w:val="Title"/>
    <w:uiPriority w:val="10"/>
    <w:rsid w:val="00B84CD5"/>
    <w:rPr>
      <w:rFonts w:ascii="Arial" w:eastAsia="Times New Roman" w:hAnsi="Arial" w:cs="Arial"/>
      <w:b/>
      <w:bCs/>
      <w:snapToGrid w:val="0"/>
      <w:sz w:val="56"/>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1253E"/>
    <w:rPr>
      <w:color w:val="0000FF" w:themeColor="hyperlink"/>
      <w:u w:val="single"/>
    </w:rPr>
  </w:style>
  <w:style w:type="paragraph" w:styleId="TOCHeading">
    <w:name w:val="TOC Heading"/>
    <w:basedOn w:val="Heading1"/>
    <w:next w:val="Normal"/>
    <w:uiPriority w:val="39"/>
    <w:unhideWhenUsed/>
    <w:qFormat/>
    <w:rsid w:val="00E85E59"/>
    <w:pPr>
      <w:keepNext/>
      <w:keepLines/>
      <w:widowControl/>
      <w:suppressAutoHyphens w:val="0"/>
      <w:spacing w:before="240" w:line="259" w:lineRule="auto"/>
      <w:outlineLvl w:val="9"/>
    </w:pPr>
    <w:rPr>
      <w:rFonts w:asciiTheme="majorHAnsi" w:eastAsiaTheme="majorEastAsia" w:hAnsiTheme="majorHAnsi" w:cstheme="majorBidi"/>
      <w:b w:val="0"/>
      <w:bCs w:val="0"/>
      <w:snapToGrid/>
      <w:color w:val="365F91" w:themeColor="accent1" w:themeShade="BF"/>
      <w:sz w:val="32"/>
      <w:szCs w:val="32"/>
      <w:lang w:val="en-US"/>
    </w:rPr>
  </w:style>
  <w:style w:type="paragraph" w:styleId="TOC1">
    <w:name w:val="toc 1"/>
    <w:basedOn w:val="Normal"/>
    <w:next w:val="Normal"/>
    <w:autoRedefine/>
    <w:uiPriority w:val="39"/>
    <w:unhideWhenUsed/>
    <w:rsid w:val="00E85E59"/>
    <w:pPr>
      <w:spacing w:after="100"/>
    </w:pPr>
  </w:style>
  <w:style w:type="paragraph" w:styleId="TOC2">
    <w:name w:val="toc 2"/>
    <w:basedOn w:val="Normal"/>
    <w:next w:val="Normal"/>
    <w:autoRedefine/>
    <w:uiPriority w:val="39"/>
    <w:unhideWhenUsed/>
    <w:rsid w:val="00E85E59"/>
    <w:pPr>
      <w:spacing w:after="100"/>
      <w:ind w:left="240"/>
    </w:pPr>
  </w:style>
  <w:style w:type="paragraph" w:styleId="Caption">
    <w:name w:val="caption"/>
    <w:basedOn w:val="Normal"/>
    <w:next w:val="Normal"/>
    <w:unhideWhenUsed/>
    <w:qFormat/>
    <w:rsid w:val="00E85E59"/>
    <w:pPr>
      <w:widowControl/>
      <w:suppressAutoHyphens w:val="0"/>
    </w:pPr>
    <w:rPr>
      <w:rFonts w:ascii="Times New Roman" w:hAnsi="Times New Roman" w:cs="Times New Roman"/>
      <w:b/>
      <w:bCs/>
      <w:snapToGrid/>
      <w:sz w:val="20"/>
    </w:rPr>
  </w:style>
  <w:style w:type="character" w:customStyle="1" w:styleId="Heading8Char">
    <w:name w:val="Heading 8 Char"/>
    <w:basedOn w:val="DefaultParagraphFont"/>
    <w:link w:val="Heading8"/>
    <w:uiPriority w:val="9"/>
    <w:semiHidden/>
    <w:rsid w:val="004E0EB7"/>
    <w:rPr>
      <w:rFonts w:asciiTheme="majorHAnsi" w:eastAsiaTheme="majorEastAsia" w:hAnsiTheme="majorHAnsi" w:cstheme="majorBidi"/>
      <w:snapToGrid w:val="0"/>
      <w:color w:val="272727" w:themeColor="text1" w:themeTint="D8"/>
      <w:sz w:val="21"/>
      <w:szCs w:val="21"/>
      <w:lang w:val="en-GB"/>
    </w:rPr>
  </w:style>
  <w:style w:type="paragraph" w:styleId="TOC3">
    <w:name w:val="toc 3"/>
    <w:basedOn w:val="Normal"/>
    <w:next w:val="Normal"/>
    <w:autoRedefine/>
    <w:uiPriority w:val="39"/>
    <w:unhideWhenUsed/>
    <w:rsid w:val="004E0EB7"/>
    <w:pPr>
      <w:spacing w:after="100"/>
      <w:ind w:left="480"/>
    </w:pPr>
  </w:style>
  <w:style w:type="character" w:styleId="FollowedHyperlink">
    <w:name w:val="FollowedHyperlink"/>
    <w:basedOn w:val="DefaultParagraphFont"/>
    <w:uiPriority w:val="99"/>
    <w:semiHidden/>
    <w:unhideWhenUsed/>
    <w:rsid w:val="00F75AF4"/>
    <w:rPr>
      <w:color w:val="800080" w:themeColor="followedHyperlink"/>
      <w:u w:val="single"/>
    </w:rPr>
  </w:style>
  <w:style w:type="character" w:styleId="UnresolvedMention">
    <w:name w:val="Unresolved Mention"/>
    <w:basedOn w:val="DefaultParagraphFont"/>
    <w:uiPriority w:val="99"/>
    <w:semiHidden/>
    <w:unhideWhenUsed/>
    <w:rsid w:val="00F75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126007">
      <w:bodyDiv w:val="1"/>
      <w:marLeft w:val="0"/>
      <w:marRight w:val="0"/>
      <w:marTop w:val="0"/>
      <w:marBottom w:val="0"/>
      <w:divBdr>
        <w:top w:val="none" w:sz="0" w:space="0" w:color="auto"/>
        <w:left w:val="none" w:sz="0" w:space="0" w:color="auto"/>
        <w:bottom w:val="none" w:sz="0" w:space="0" w:color="auto"/>
        <w:right w:val="none" w:sz="0" w:space="0" w:color="auto"/>
      </w:divBdr>
    </w:div>
    <w:div w:id="877547216">
      <w:bodyDiv w:val="1"/>
      <w:marLeft w:val="0"/>
      <w:marRight w:val="0"/>
      <w:marTop w:val="0"/>
      <w:marBottom w:val="0"/>
      <w:divBdr>
        <w:top w:val="none" w:sz="0" w:space="0" w:color="auto"/>
        <w:left w:val="none" w:sz="0" w:space="0" w:color="auto"/>
        <w:bottom w:val="none" w:sz="0" w:space="0" w:color="auto"/>
        <w:right w:val="none" w:sz="0" w:space="0" w:color="auto"/>
      </w:divBdr>
    </w:div>
    <w:div w:id="1040781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8/48/contents" TargetMode="External"/><Relationship Id="rId13" Type="http://schemas.openxmlformats.org/officeDocument/2006/relationships/hyperlink" Target="https://www.legislation.gov.uk/ukpga/1998/29/contents" TargetMode="External"/><Relationship Id="rId18" Type="http://schemas.openxmlformats.org/officeDocument/2006/relationships/hyperlink" Target="https://www.legislation.gov.uk/ukpga/2000/11/cont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slation.gov.uk/ukpga/1988/33/contents" TargetMode="External"/><Relationship Id="rId7" Type="http://schemas.openxmlformats.org/officeDocument/2006/relationships/endnotes" Target="endnotes.xml"/><Relationship Id="rId12" Type="http://schemas.openxmlformats.org/officeDocument/2006/relationships/hyperlink" Target="https://www.legislation.gov.uk/ukpga/1994/26/contents" TargetMode="External"/><Relationship Id="rId17" Type="http://schemas.openxmlformats.org/officeDocument/2006/relationships/hyperlink" Target="https://www.legislation.gov.uk/ukpga/2003/21/conten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islation.gov.uk/ukpga/2000/36/contents" TargetMode="External"/><Relationship Id="rId20" Type="http://schemas.openxmlformats.org/officeDocument/2006/relationships/hyperlink" Target="https://www.legislation.gov.uk/ukpga/1978/37/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4/33/conten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lation.gov.uk/ukpga/2000/23/contents" TargetMode="External"/><Relationship Id="rId23" Type="http://schemas.openxmlformats.org/officeDocument/2006/relationships/footer" Target="footer1.xml"/><Relationship Id="rId10" Type="http://schemas.openxmlformats.org/officeDocument/2006/relationships/hyperlink" Target="https://www.legislation.gov.uk/ukpga/1990/18/contents" TargetMode="External"/><Relationship Id="rId19" Type="http://schemas.openxmlformats.org/officeDocument/2006/relationships/hyperlink" Target="https://www.legislation.gov.uk/ukpga/2006/11/contents" TargetMode="External"/><Relationship Id="rId4" Type="http://schemas.openxmlformats.org/officeDocument/2006/relationships/settings" Target="settings.xml"/><Relationship Id="rId9" Type="http://schemas.openxmlformats.org/officeDocument/2006/relationships/hyperlink" Target="https://www.legislation.gov.uk/ukpga/1988/27/contents" TargetMode="External"/><Relationship Id="rId14" Type="http://schemas.openxmlformats.org/officeDocument/2006/relationships/hyperlink" Target="https://www.legislation.gov.uk/ukpga/1998/42/contents" TargetMode="External"/><Relationship Id="rId22" Type="http://schemas.openxmlformats.org/officeDocument/2006/relationships/hyperlink" Target="https://ico.org.uk/for-organisations/guide-to-data-protection/guide-to-the-general-data-protection-regulation-gdp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ow\Box\000-AAA-WD\Documentation\AAA%20Corporate%20Branding\Document%20template%20with%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6EBD-8237-4EAC-922A-05654D4C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C:\Users\barrow\Box\000-AAA-WD\Documentation\AAA Corporate Branding\Document template with cover sheet.dotx</Template>
  <TotalTime>1</TotalTime>
  <Pages>14</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London Metropolitan University</Company>
  <LinksUpToDate>false</LinksUpToDate>
  <CharactersWithSpaces>24975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Metropolitan University</dc:creator>
  <cp:keywords/>
  <dc:description/>
  <cp:lastModifiedBy>Carole Afoudji</cp:lastModifiedBy>
  <cp:revision>2</cp:revision>
  <cp:lastPrinted>2015-07-20T13:36:00Z</cp:lastPrinted>
  <dcterms:created xsi:type="dcterms:W3CDTF">2021-05-04T12:06:00Z</dcterms:created>
  <dcterms:modified xsi:type="dcterms:W3CDTF">2021-05-04T12:06:00Z</dcterms:modified>
  <cp:category/>
</cp:coreProperties>
</file>