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E670" w14:textId="77777777" w:rsidR="00A506BC" w:rsidRDefault="00A506BC" w:rsidP="000C38F5">
      <w:pPr>
        <w:pStyle w:val="Title"/>
      </w:pPr>
    </w:p>
    <w:p w14:paraId="67C235D8" w14:textId="77777777" w:rsidR="00A506BC" w:rsidRDefault="00A506BC" w:rsidP="000C38F5">
      <w:pPr>
        <w:pStyle w:val="Title"/>
      </w:pPr>
    </w:p>
    <w:p w14:paraId="20989389" w14:textId="77777777" w:rsidR="00A506BC" w:rsidRDefault="00A506BC" w:rsidP="000C38F5">
      <w:pPr>
        <w:pStyle w:val="Title"/>
      </w:pPr>
    </w:p>
    <w:p w14:paraId="1860B01C" w14:textId="77777777" w:rsidR="00A506BC" w:rsidRDefault="00A506BC" w:rsidP="000C38F5">
      <w:pPr>
        <w:pStyle w:val="Title"/>
      </w:pPr>
    </w:p>
    <w:p w14:paraId="4A5FF91C" w14:textId="77777777" w:rsidR="00A071E2" w:rsidRDefault="00A071E2" w:rsidP="000C38F5">
      <w:pPr>
        <w:pStyle w:val="Title"/>
      </w:pPr>
    </w:p>
    <w:p w14:paraId="61D222D1" w14:textId="626A89CA" w:rsidR="00050919" w:rsidRDefault="00050919" w:rsidP="00050919">
      <w:pPr>
        <w:pStyle w:val="Title"/>
        <w:spacing w:line="360" w:lineRule="auto"/>
      </w:pPr>
      <w:bookmarkStart w:id="0" w:name="_Toc111027960"/>
      <w:r>
        <w:t xml:space="preserve">General Student Regulations </w:t>
      </w:r>
      <w:r w:rsidR="0031106C">
        <w:t>202</w:t>
      </w:r>
      <w:r w:rsidR="006649D5">
        <w:t>5</w:t>
      </w:r>
      <w:r w:rsidR="00A54391">
        <w:t>-</w:t>
      </w:r>
      <w:bookmarkEnd w:id="0"/>
      <w:r w:rsidR="0031106C">
        <w:t>2</w:t>
      </w:r>
      <w:r w:rsidR="006649D5">
        <w:t>6</w:t>
      </w:r>
    </w:p>
    <w:p w14:paraId="2E92693A" w14:textId="0266E155" w:rsidR="00050919" w:rsidRPr="00050919" w:rsidRDefault="00050919" w:rsidP="00050919">
      <w:pPr>
        <w:pStyle w:val="Title"/>
        <w:spacing w:line="360" w:lineRule="auto"/>
      </w:pPr>
      <w:bookmarkStart w:id="1" w:name="_Toc111027961"/>
      <w:r>
        <w:t xml:space="preserve">Section </w:t>
      </w:r>
      <w:r w:rsidR="00BB697C">
        <w:t>0</w:t>
      </w:r>
      <w:r>
        <w:t>3 – Tuition Fees</w:t>
      </w:r>
      <w:bookmarkEnd w:id="1"/>
    </w:p>
    <w:p w14:paraId="021BC066" w14:textId="77777777" w:rsidR="005B3AE2" w:rsidRDefault="005B3AE2" w:rsidP="005B3AE2">
      <w:pPr>
        <w:suppressAutoHyphens w:val="0"/>
        <w:spacing w:after="0" w:line="240" w:lineRule="auto"/>
      </w:pPr>
    </w:p>
    <w:p w14:paraId="7DB0C704" w14:textId="77777777" w:rsidR="005B3AE2" w:rsidRDefault="005B3AE2" w:rsidP="005B3AE2">
      <w:pPr>
        <w:suppressAutoHyphens w:val="0"/>
        <w:spacing w:after="0" w:line="240" w:lineRule="auto"/>
      </w:pPr>
    </w:p>
    <w:p w14:paraId="6F93F0F7" w14:textId="77777777" w:rsidR="00020D8E" w:rsidRDefault="00020D8E" w:rsidP="005B3AE2">
      <w:pPr>
        <w:suppressAutoHyphens w:val="0"/>
        <w:spacing w:after="0" w:line="240" w:lineRule="auto"/>
      </w:pPr>
    </w:p>
    <w:p w14:paraId="47F7D9AE" w14:textId="77777777" w:rsidR="00020D8E" w:rsidRDefault="00020D8E" w:rsidP="005B3AE2">
      <w:pPr>
        <w:suppressAutoHyphens w:val="0"/>
        <w:spacing w:after="0" w:line="240" w:lineRule="auto"/>
      </w:pPr>
    </w:p>
    <w:p w14:paraId="23EFD5BB" w14:textId="77777777" w:rsidR="00020D8E" w:rsidRDefault="00020D8E" w:rsidP="005B3AE2">
      <w:pPr>
        <w:suppressAutoHyphens w:val="0"/>
        <w:spacing w:after="0" w:line="240" w:lineRule="auto"/>
      </w:pPr>
    </w:p>
    <w:p w14:paraId="3B792B71" w14:textId="77777777" w:rsidR="00020D8E" w:rsidRDefault="00020D8E" w:rsidP="005B3AE2">
      <w:pPr>
        <w:suppressAutoHyphens w:val="0"/>
        <w:spacing w:after="0" w:line="240" w:lineRule="auto"/>
      </w:pPr>
    </w:p>
    <w:p w14:paraId="1998A9C6" w14:textId="77777777" w:rsidR="00020D8E" w:rsidRDefault="00020D8E" w:rsidP="005B3AE2">
      <w:pPr>
        <w:suppressAutoHyphens w:val="0"/>
        <w:spacing w:after="0" w:line="240" w:lineRule="auto"/>
      </w:pPr>
    </w:p>
    <w:tbl>
      <w:tblPr>
        <w:tblW w:w="10065"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12"/>
        <w:gridCol w:w="5353"/>
      </w:tblGrid>
      <w:tr w:rsidR="41C973E2" w14:paraId="661169ED" w14:textId="77777777" w:rsidTr="00020D8E">
        <w:trPr>
          <w:trHeight w:val="252"/>
        </w:trPr>
        <w:tc>
          <w:tcPr>
            <w:tcW w:w="4712" w:type="dxa"/>
            <w:tcBorders>
              <w:top w:val="single" w:sz="6" w:space="0" w:color="auto"/>
              <w:left w:val="single" w:sz="6" w:space="0" w:color="auto"/>
              <w:bottom w:val="nil"/>
              <w:right w:val="nil"/>
            </w:tcBorders>
            <w:vAlign w:val="center"/>
          </w:tcPr>
          <w:p w14:paraId="4FFD6696" w14:textId="7542973E" w:rsidR="41C973E2" w:rsidRDefault="41C973E2" w:rsidP="00020D8E">
            <w:pPr>
              <w:widowControl/>
              <w:spacing w:after="0" w:line="240" w:lineRule="auto"/>
              <w:ind w:left="270" w:hanging="135"/>
              <w:rPr>
                <w:rFonts w:eastAsia="Arial"/>
                <w:color w:val="000000" w:themeColor="text1"/>
                <w:szCs w:val="24"/>
              </w:rPr>
            </w:pPr>
            <w:r w:rsidRPr="41C973E2">
              <w:rPr>
                <w:rFonts w:eastAsia="Arial"/>
                <w:b/>
                <w:bCs/>
                <w:color w:val="000000" w:themeColor="text1"/>
                <w:szCs w:val="24"/>
              </w:rPr>
              <w:t>Document Control Information </w:t>
            </w:r>
          </w:p>
        </w:tc>
        <w:tc>
          <w:tcPr>
            <w:tcW w:w="5353" w:type="dxa"/>
            <w:tcBorders>
              <w:top w:val="single" w:sz="6" w:space="0" w:color="auto"/>
              <w:left w:val="nil"/>
              <w:bottom w:val="nil"/>
              <w:right w:val="single" w:sz="6" w:space="0" w:color="auto"/>
            </w:tcBorders>
            <w:vAlign w:val="center"/>
          </w:tcPr>
          <w:p w14:paraId="6DFDEDE4" w14:textId="0F7116E6" w:rsidR="41C973E2" w:rsidRDefault="41C973E2" w:rsidP="00020D8E">
            <w:pPr>
              <w:widowControl/>
              <w:spacing w:after="0" w:line="240" w:lineRule="auto"/>
              <w:ind w:left="270" w:hanging="135"/>
              <w:rPr>
                <w:rFonts w:eastAsia="Arial"/>
                <w:color w:val="000000" w:themeColor="text1"/>
                <w:szCs w:val="24"/>
              </w:rPr>
            </w:pPr>
            <w:r w:rsidRPr="41C973E2">
              <w:rPr>
                <w:rFonts w:eastAsia="Arial"/>
                <w:b/>
                <w:bCs/>
                <w:color w:val="000000" w:themeColor="text1"/>
                <w:szCs w:val="24"/>
              </w:rPr>
              <w:t> </w:t>
            </w:r>
          </w:p>
        </w:tc>
      </w:tr>
      <w:tr w:rsidR="41C973E2" w14:paraId="3EC75B6D" w14:textId="77777777" w:rsidTr="00020D8E">
        <w:trPr>
          <w:trHeight w:val="252"/>
        </w:trPr>
        <w:tc>
          <w:tcPr>
            <w:tcW w:w="4712" w:type="dxa"/>
            <w:tcBorders>
              <w:top w:val="single" w:sz="6" w:space="0" w:color="auto"/>
              <w:left w:val="single" w:sz="6" w:space="0" w:color="auto"/>
              <w:bottom w:val="nil"/>
              <w:right w:val="nil"/>
            </w:tcBorders>
            <w:vAlign w:val="center"/>
          </w:tcPr>
          <w:p w14:paraId="03FEDA12" w14:textId="74111399"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rPr>
              <w:t>Version control</w:t>
            </w:r>
            <w:r w:rsidRPr="41C973E2">
              <w:rPr>
                <w:rFonts w:eastAsia="Arial"/>
                <w:b/>
                <w:bCs/>
                <w:color w:val="000000" w:themeColor="text1"/>
                <w:szCs w:val="24"/>
              </w:rPr>
              <w:t> </w:t>
            </w:r>
          </w:p>
        </w:tc>
        <w:tc>
          <w:tcPr>
            <w:tcW w:w="5353" w:type="dxa"/>
            <w:tcBorders>
              <w:top w:val="single" w:sz="6" w:space="0" w:color="auto"/>
              <w:left w:val="nil"/>
              <w:bottom w:val="nil"/>
              <w:right w:val="single" w:sz="6" w:space="0" w:color="auto"/>
            </w:tcBorders>
            <w:vAlign w:val="center"/>
          </w:tcPr>
          <w:p w14:paraId="436A69B4" w14:textId="68076033" w:rsidR="41C973E2" w:rsidRDefault="41C973E2" w:rsidP="00020D8E">
            <w:pPr>
              <w:widowControl/>
              <w:spacing w:after="0" w:line="240" w:lineRule="auto"/>
              <w:ind w:left="270" w:hanging="135"/>
              <w:rPr>
                <w:rFonts w:eastAsia="Arial"/>
                <w:color w:val="000000" w:themeColor="text1"/>
                <w:szCs w:val="24"/>
              </w:rPr>
            </w:pPr>
            <w:r w:rsidRPr="41C973E2">
              <w:rPr>
                <w:rFonts w:eastAsia="Arial"/>
                <w:b/>
                <w:bCs/>
                <w:color w:val="000000" w:themeColor="text1"/>
                <w:szCs w:val="24"/>
              </w:rPr>
              <w:t>1.0</w:t>
            </w:r>
          </w:p>
        </w:tc>
      </w:tr>
      <w:tr w:rsidR="41C973E2" w14:paraId="451AD23C" w14:textId="77777777" w:rsidTr="00020D8E">
        <w:trPr>
          <w:trHeight w:val="252"/>
        </w:trPr>
        <w:tc>
          <w:tcPr>
            <w:tcW w:w="4712" w:type="dxa"/>
            <w:tcBorders>
              <w:top w:val="nil"/>
              <w:left w:val="single" w:sz="6" w:space="0" w:color="auto"/>
              <w:bottom w:val="nil"/>
              <w:right w:val="nil"/>
            </w:tcBorders>
            <w:vAlign w:val="center"/>
          </w:tcPr>
          <w:p w14:paraId="2059BBBA" w14:textId="76DE3C42" w:rsidR="41C973E2" w:rsidRDefault="41C973E2" w:rsidP="00020D8E">
            <w:pPr>
              <w:widowControl/>
              <w:spacing w:after="0" w:line="240" w:lineRule="auto"/>
              <w:ind w:left="135"/>
              <w:rPr>
                <w:rFonts w:eastAsia="Arial"/>
                <w:color w:val="000000" w:themeColor="text1"/>
                <w:szCs w:val="24"/>
              </w:rPr>
            </w:pPr>
            <w:r w:rsidRPr="41C973E2">
              <w:rPr>
                <w:rFonts w:eastAsia="Arial"/>
                <w:color w:val="000000" w:themeColor="text1"/>
                <w:szCs w:val="24"/>
              </w:rPr>
              <w:t>Owned by: </w:t>
            </w:r>
            <w:r w:rsidRPr="41C973E2">
              <w:rPr>
                <w:rFonts w:eastAsia="Arial"/>
                <w:b/>
                <w:bCs/>
                <w:color w:val="000000" w:themeColor="text1"/>
                <w:szCs w:val="24"/>
              </w:rPr>
              <w:t> </w:t>
            </w:r>
          </w:p>
        </w:tc>
        <w:tc>
          <w:tcPr>
            <w:tcW w:w="5353" w:type="dxa"/>
            <w:tcBorders>
              <w:top w:val="nil"/>
              <w:left w:val="nil"/>
              <w:bottom w:val="nil"/>
              <w:right w:val="single" w:sz="6" w:space="0" w:color="auto"/>
            </w:tcBorders>
            <w:vAlign w:val="center"/>
          </w:tcPr>
          <w:p w14:paraId="49904AC1" w14:textId="76E0C3E6" w:rsidR="54033E80" w:rsidRDefault="54033E80" w:rsidP="00020D8E">
            <w:pPr>
              <w:spacing w:after="0"/>
              <w:rPr>
                <w:rFonts w:eastAsia="Arial"/>
                <w:color w:val="000000" w:themeColor="text1"/>
                <w:szCs w:val="24"/>
              </w:rPr>
            </w:pPr>
            <w:r w:rsidRPr="41C973E2">
              <w:rPr>
                <w:rFonts w:eastAsia="Arial"/>
                <w:color w:val="000000" w:themeColor="text1"/>
                <w:szCs w:val="24"/>
              </w:rPr>
              <w:t>Dean of Students</w:t>
            </w:r>
            <w:r>
              <w:br/>
            </w:r>
            <w:r w:rsidR="00020D8E">
              <w:t>(</w:t>
            </w:r>
            <w:r w:rsidR="2A764709">
              <w:t>Updated by: Director of Admissions &amp; Enrolment/ Director Financial Reporting</w:t>
            </w:r>
            <w:r w:rsidR="00020D8E">
              <w:t>)</w:t>
            </w:r>
          </w:p>
          <w:p w14:paraId="689E30BF" w14:textId="6E873EBD" w:rsidR="41C973E2" w:rsidRDefault="41C973E2" w:rsidP="41C973E2">
            <w:pPr>
              <w:widowControl/>
              <w:spacing w:after="0" w:line="240" w:lineRule="auto"/>
              <w:ind w:left="270" w:hanging="135"/>
              <w:rPr>
                <w:rFonts w:eastAsia="Arial"/>
                <w:color w:val="000000" w:themeColor="text1"/>
                <w:szCs w:val="24"/>
              </w:rPr>
            </w:pPr>
          </w:p>
        </w:tc>
      </w:tr>
      <w:tr w:rsidR="41C973E2" w14:paraId="65684C3D" w14:textId="77777777" w:rsidTr="00020D8E">
        <w:trPr>
          <w:trHeight w:val="252"/>
        </w:trPr>
        <w:tc>
          <w:tcPr>
            <w:tcW w:w="4712" w:type="dxa"/>
            <w:tcBorders>
              <w:top w:val="nil"/>
              <w:left w:val="single" w:sz="6" w:space="0" w:color="auto"/>
              <w:bottom w:val="nil"/>
              <w:right w:val="nil"/>
            </w:tcBorders>
            <w:vAlign w:val="center"/>
          </w:tcPr>
          <w:p w14:paraId="7F96A694" w14:textId="49451799"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rPr>
              <w:t>Latest amendment on:</w:t>
            </w:r>
            <w:r w:rsidRPr="41C973E2">
              <w:rPr>
                <w:rFonts w:eastAsia="Arial"/>
                <w:b/>
                <w:bCs/>
                <w:color w:val="000000" w:themeColor="text1"/>
                <w:szCs w:val="24"/>
              </w:rPr>
              <w:t> </w:t>
            </w:r>
          </w:p>
        </w:tc>
        <w:tc>
          <w:tcPr>
            <w:tcW w:w="5353" w:type="dxa"/>
            <w:tcBorders>
              <w:top w:val="nil"/>
              <w:left w:val="nil"/>
              <w:bottom w:val="nil"/>
              <w:right w:val="single" w:sz="6" w:space="0" w:color="auto"/>
            </w:tcBorders>
            <w:vAlign w:val="center"/>
          </w:tcPr>
          <w:p w14:paraId="0C174CDE" w14:textId="315F1F00"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u w:val="single"/>
              </w:rPr>
              <w:t>June 2025</w:t>
            </w:r>
            <w:r w:rsidRPr="41C973E2">
              <w:rPr>
                <w:rFonts w:eastAsia="Arial"/>
                <w:b/>
                <w:bCs/>
                <w:color w:val="000000" w:themeColor="text1"/>
                <w:szCs w:val="24"/>
              </w:rPr>
              <w:t> </w:t>
            </w:r>
          </w:p>
        </w:tc>
      </w:tr>
      <w:tr w:rsidR="41C973E2" w14:paraId="08D7BA52" w14:textId="77777777" w:rsidTr="00020D8E">
        <w:trPr>
          <w:trHeight w:val="252"/>
        </w:trPr>
        <w:tc>
          <w:tcPr>
            <w:tcW w:w="4712" w:type="dxa"/>
            <w:tcBorders>
              <w:top w:val="nil"/>
              <w:left w:val="single" w:sz="6" w:space="0" w:color="auto"/>
              <w:bottom w:val="nil"/>
              <w:right w:val="nil"/>
            </w:tcBorders>
            <w:vAlign w:val="center"/>
          </w:tcPr>
          <w:p w14:paraId="66E618E4" w14:textId="36FC92DC"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rPr>
              <w:t>Approved by:</w:t>
            </w:r>
            <w:r w:rsidRPr="41C973E2">
              <w:rPr>
                <w:rFonts w:eastAsia="Arial"/>
                <w:b/>
                <w:bCs/>
                <w:color w:val="000000" w:themeColor="text1"/>
                <w:szCs w:val="24"/>
              </w:rPr>
              <w:t> </w:t>
            </w:r>
          </w:p>
        </w:tc>
        <w:tc>
          <w:tcPr>
            <w:tcW w:w="5353" w:type="dxa"/>
            <w:tcBorders>
              <w:top w:val="nil"/>
              <w:left w:val="nil"/>
              <w:bottom w:val="nil"/>
              <w:right w:val="single" w:sz="6" w:space="0" w:color="auto"/>
            </w:tcBorders>
            <w:vAlign w:val="center"/>
          </w:tcPr>
          <w:p w14:paraId="135A47B8" w14:textId="0764E5C3"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u w:val="single"/>
              </w:rPr>
              <w:t>Academic Board</w:t>
            </w:r>
            <w:r w:rsidRPr="41C973E2">
              <w:rPr>
                <w:rFonts w:eastAsia="Arial"/>
                <w:b/>
                <w:bCs/>
                <w:color w:val="000000" w:themeColor="text1"/>
                <w:szCs w:val="24"/>
              </w:rPr>
              <w:t> </w:t>
            </w:r>
          </w:p>
        </w:tc>
      </w:tr>
      <w:tr w:rsidR="41C973E2" w14:paraId="5FDD7765" w14:textId="77777777" w:rsidTr="00020D8E">
        <w:trPr>
          <w:trHeight w:val="252"/>
        </w:trPr>
        <w:tc>
          <w:tcPr>
            <w:tcW w:w="4712" w:type="dxa"/>
            <w:tcBorders>
              <w:top w:val="nil"/>
              <w:left w:val="single" w:sz="6" w:space="0" w:color="auto"/>
              <w:bottom w:val="nil"/>
              <w:right w:val="nil"/>
            </w:tcBorders>
            <w:vAlign w:val="center"/>
          </w:tcPr>
          <w:p w14:paraId="2C49F928" w14:textId="5FAC621E"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rPr>
              <w:t>Approved on:</w:t>
            </w:r>
            <w:r w:rsidRPr="41C973E2">
              <w:rPr>
                <w:rFonts w:eastAsia="Arial"/>
                <w:b/>
                <w:bCs/>
                <w:color w:val="000000" w:themeColor="text1"/>
                <w:szCs w:val="24"/>
              </w:rPr>
              <w:t> </w:t>
            </w:r>
          </w:p>
        </w:tc>
        <w:tc>
          <w:tcPr>
            <w:tcW w:w="5353" w:type="dxa"/>
            <w:tcBorders>
              <w:top w:val="nil"/>
              <w:left w:val="nil"/>
              <w:bottom w:val="nil"/>
              <w:right w:val="single" w:sz="6" w:space="0" w:color="auto"/>
            </w:tcBorders>
            <w:vAlign w:val="center"/>
          </w:tcPr>
          <w:p w14:paraId="21F54366" w14:textId="19E1C658"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u w:val="single"/>
              </w:rPr>
              <w:t>4 June 2025</w:t>
            </w:r>
            <w:r w:rsidRPr="41C973E2">
              <w:rPr>
                <w:rFonts w:eastAsia="Arial"/>
                <w:b/>
                <w:bCs/>
                <w:color w:val="000000" w:themeColor="text1"/>
                <w:szCs w:val="24"/>
              </w:rPr>
              <w:t> </w:t>
            </w:r>
          </w:p>
        </w:tc>
      </w:tr>
      <w:tr w:rsidR="41C973E2" w14:paraId="42E8222C" w14:textId="77777777" w:rsidTr="00020D8E">
        <w:trPr>
          <w:trHeight w:val="252"/>
        </w:trPr>
        <w:tc>
          <w:tcPr>
            <w:tcW w:w="4712" w:type="dxa"/>
            <w:tcBorders>
              <w:top w:val="nil"/>
              <w:left w:val="single" w:sz="6" w:space="0" w:color="auto"/>
              <w:bottom w:val="nil"/>
              <w:right w:val="nil"/>
            </w:tcBorders>
            <w:vAlign w:val="center"/>
          </w:tcPr>
          <w:p w14:paraId="748C00E7" w14:textId="70CD82C7"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rPr>
              <w:t>Coming into effect on:</w:t>
            </w:r>
            <w:r w:rsidRPr="41C973E2">
              <w:rPr>
                <w:rFonts w:eastAsia="Arial"/>
                <w:b/>
                <w:bCs/>
                <w:color w:val="000000" w:themeColor="text1"/>
                <w:szCs w:val="24"/>
              </w:rPr>
              <w:t> </w:t>
            </w:r>
          </w:p>
        </w:tc>
        <w:tc>
          <w:tcPr>
            <w:tcW w:w="5353" w:type="dxa"/>
            <w:tcBorders>
              <w:top w:val="nil"/>
              <w:left w:val="nil"/>
              <w:bottom w:val="nil"/>
              <w:right w:val="single" w:sz="6" w:space="0" w:color="auto"/>
            </w:tcBorders>
            <w:vAlign w:val="center"/>
          </w:tcPr>
          <w:p w14:paraId="32B22C1A" w14:textId="4B7576CC"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u w:val="single"/>
              </w:rPr>
              <w:t>September 2025</w:t>
            </w:r>
            <w:r w:rsidRPr="41C973E2">
              <w:rPr>
                <w:rFonts w:eastAsia="Arial"/>
                <w:b/>
                <w:bCs/>
                <w:color w:val="000000" w:themeColor="text1"/>
                <w:szCs w:val="24"/>
              </w:rPr>
              <w:t> </w:t>
            </w:r>
          </w:p>
        </w:tc>
      </w:tr>
      <w:tr w:rsidR="41C973E2" w14:paraId="531CFD9C" w14:textId="77777777" w:rsidTr="00020D8E">
        <w:trPr>
          <w:trHeight w:val="252"/>
        </w:trPr>
        <w:tc>
          <w:tcPr>
            <w:tcW w:w="4712" w:type="dxa"/>
            <w:tcBorders>
              <w:top w:val="nil"/>
              <w:left w:val="single" w:sz="6" w:space="0" w:color="auto"/>
              <w:bottom w:val="nil"/>
              <w:right w:val="nil"/>
            </w:tcBorders>
            <w:vAlign w:val="center"/>
          </w:tcPr>
          <w:p w14:paraId="16CF7476" w14:textId="490A4AE9"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rPr>
              <w:t>Review date:</w:t>
            </w:r>
            <w:r w:rsidRPr="41C973E2">
              <w:rPr>
                <w:rFonts w:eastAsia="Arial"/>
                <w:b/>
                <w:bCs/>
                <w:color w:val="000000" w:themeColor="text1"/>
                <w:szCs w:val="24"/>
              </w:rPr>
              <w:t> </w:t>
            </w:r>
          </w:p>
        </w:tc>
        <w:tc>
          <w:tcPr>
            <w:tcW w:w="5353" w:type="dxa"/>
            <w:tcBorders>
              <w:top w:val="nil"/>
              <w:left w:val="nil"/>
              <w:bottom w:val="nil"/>
              <w:right w:val="single" w:sz="6" w:space="0" w:color="auto"/>
            </w:tcBorders>
            <w:vAlign w:val="center"/>
          </w:tcPr>
          <w:p w14:paraId="49256738" w14:textId="4D0B3B20" w:rsidR="41C973E2" w:rsidRDefault="41C973E2" w:rsidP="00020D8E">
            <w:pPr>
              <w:widowControl/>
              <w:spacing w:after="0" w:line="240" w:lineRule="auto"/>
              <w:ind w:left="270" w:hanging="135"/>
              <w:rPr>
                <w:rFonts w:eastAsia="Arial"/>
                <w:color w:val="000000" w:themeColor="text1"/>
                <w:szCs w:val="24"/>
              </w:rPr>
            </w:pPr>
            <w:r w:rsidRPr="41C973E2">
              <w:rPr>
                <w:rFonts w:eastAsia="Arial"/>
                <w:color w:val="000000" w:themeColor="text1"/>
                <w:szCs w:val="24"/>
                <w:u w:val="single"/>
              </w:rPr>
              <w:t>June 2026</w:t>
            </w:r>
            <w:r w:rsidRPr="41C973E2">
              <w:rPr>
                <w:rFonts w:eastAsia="Arial"/>
                <w:b/>
                <w:bCs/>
                <w:color w:val="000000" w:themeColor="text1"/>
                <w:szCs w:val="24"/>
              </w:rPr>
              <w:t> </w:t>
            </w:r>
          </w:p>
          <w:p w14:paraId="45BB1A3A" w14:textId="4332648C" w:rsidR="41C973E2" w:rsidRDefault="41C973E2" w:rsidP="00020D8E">
            <w:pPr>
              <w:widowControl/>
              <w:spacing w:after="0" w:line="240" w:lineRule="auto"/>
              <w:rPr>
                <w:rFonts w:ascii="Segoe UI" w:eastAsia="Segoe UI" w:hAnsi="Segoe UI" w:cs="Segoe UI"/>
                <w:color w:val="000000" w:themeColor="text1"/>
                <w:sz w:val="18"/>
                <w:szCs w:val="18"/>
              </w:rPr>
            </w:pPr>
          </w:p>
        </w:tc>
      </w:tr>
      <w:tr w:rsidR="41C973E2" w14:paraId="29237C72" w14:textId="77777777" w:rsidTr="00020D8E">
        <w:trPr>
          <w:trHeight w:val="252"/>
        </w:trPr>
        <w:tc>
          <w:tcPr>
            <w:tcW w:w="4712" w:type="dxa"/>
            <w:tcBorders>
              <w:top w:val="nil"/>
              <w:left w:val="single" w:sz="6" w:space="0" w:color="auto"/>
              <w:bottom w:val="nil"/>
              <w:right w:val="nil"/>
            </w:tcBorders>
            <w:vAlign w:val="center"/>
          </w:tcPr>
          <w:p w14:paraId="4AEC3959" w14:textId="42BB1824" w:rsidR="41C973E2" w:rsidRDefault="41C973E2" w:rsidP="00020D8E">
            <w:pPr>
              <w:widowControl/>
              <w:spacing w:after="0" w:line="240" w:lineRule="auto"/>
              <w:rPr>
                <w:rFonts w:ascii="Segoe UI" w:eastAsia="Segoe UI" w:hAnsi="Segoe UI" w:cs="Segoe UI"/>
                <w:color w:val="000000" w:themeColor="text1"/>
                <w:sz w:val="18"/>
                <w:szCs w:val="18"/>
              </w:rPr>
            </w:pPr>
          </w:p>
        </w:tc>
        <w:tc>
          <w:tcPr>
            <w:tcW w:w="5353" w:type="dxa"/>
            <w:tcBorders>
              <w:top w:val="nil"/>
              <w:left w:val="nil"/>
              <w:bottom w:val="nil"/>
              <w:right w:val="single" w:sz="6" w:space="0" w:color="auto"/>
            </w:tcBorders>
            <w:vAlign w:val="center"/>
          </w:tcPr>
          <w:p w14:paraId="6D3B6876" w14:textId="20BEA6E5" w:rsidR="41C973E2" w:rsidRDefault="41C973E2" w:rsidP="00020D8E">
            <w:pPr>
              <w:widowControl/>
              <w:spacing w:after="0" w:line="240" w:lineRule="auto"/>
              <w:rPr>
                <w:rFonts w:ascii="Segoe UI" w:eastAsia="Segoe UI" w:hAnsi="Segoe UI" w:cs="Segoe UI"/>
                <w:color w:val="000000" w:themeColor="text1"/>
                <w:sz w:val="18"/>
                <w:szCs w:val="18"/>
              </w:rPr>
            </w:pPr>
          </w:p>
        </w:tc>
      </w:tr>
      <w:tr w:rsidR="41C973E2" w14:paraId="74AF801D" w14:textId="77777777" w:rsidTr="00020D8E">
        <w:trPr>
          <w:trHeight w:val="252"/>
        </w:trPr>
        <w:tc>
          <w:tcPr>
            <w:tcW w:w="4712" w:type="dxa"/>
            <w:tcBorders>
              <w:top w:val="nil"/>
              <w:left w:val="single" w:sz="6" w:space="0" w:color="auto"/>
              <w:bottom w:val="single" w:sz="6" w:space="0" w:color="auto"/>
              <w:right w:val="nil"/>
            </w:tcBorders>
            <w:vAlign w:val="center"/>
          </w:tcPr>
          <w:p w14:paraId="4AB5674E" w14:textId="657BF66B" w:rsidR="41C973E2" w:rsidRDefault="41C973E2" w:rsidP="00020D8E">
            <w:pPr>
              <w:widowControl/>
              <w:spacing w:after="0" w:line="240" w:lineRule="auto"/>
              <w:rPr>
                <w:rFonts w:ascii="Segoe UI" w:eastAsia="Segoe UI" w:hAnsi="Segoe UI" w:cs="Segoe UI"/>
                <w:color w:val="000000" w:themeColor="text1"/>
                <w:sz w:val="18"/>
                <w:szCs w:val="18"/>
              </w:rPr>
            </w:pPr>
          </w:p>
        </w:tc>
        <w:tc>
          <w:tcPr>
            <w:tcW w:w="5353" w:type="dxa"/>
            <w:tcBorders>
              <w:top w:val="nil"/>
              <w:left w:val="nil"/>
              <w:bottom w:val="single" w:sz="6" w:space="0" w:color="auto"/>
              <w:right w:val="single" w:sz="6" w:space="0" w:color="auto"/>
            </w:tcBorders>
            <w:vAlign w:val="center"/>
          </w:tcPr>
          <w:p w14:paraId="7FBDED24" w14:textId="0EB94039" w:rsidR="41C973E2" w:rsidRDefault="41C973E2" w:rsidP="00020D8E">
            <w:pPr>
              <w:widowControl/>
              <w:spacing w:after="0" w:line="240" w:lineRule="auto"/>
              <w:rPr>
                <w:rFonts w:ascii="Segoe UI" w:eastAsia="Segoe UI" w:hAnsi="Segoe UI" w:cs="Segoe UI"/>
                <w:color w:val="000000" w:themeColor="text1"/>
                <w:sz w:val="18"/>
                <w:szCs w:val="18"/>
              </w:rPr>
            </w:pPr>
          </w:p>
        </w:tc>
      </w:tr>
    </w:tbl>
    <w:p w14:paraId="1026ECF9" w14:textId="77777777" w:rsidR="005B3AE2" w:rsidRDefault="005B3AE2" w:rsidP="005B3AE2">
      <w:pPr>
        <w:suppressAutoHyphens w:val="0"/>
        <w:spacing w:after="0" w:line="240" w:lineRule="auto"/>
      </w:pPr>
    </w:p>
    <w:p w14:paraId="48AB4769" w14:textId="77777777" w:rsidR="005B3AE2" w:rsidRDefault="005B3AE2" w:rsidP="005B3AE2">
      <w:pPr>
        <w:suppressAutoHyphens w:val="0"/>
        <w:spacing w:after="0" w:line="240" w:lineRule="auto"/>
      </w:pPr>
    </w:p>
    <w:p w14:paraId="6DDF658D" w14:textId="77777777" w:rsidR="005B3AE2" w:rsidRDefault="005B3AE2" w:rsidP="005B3AE2">
      <w:pPr>
        <w:suppressAutoHyphens w:val="0"/>
        <w:spacing w:after="0" w:line="240" w:lineRule="auto"/>
      </w:pPr>
    </w:p>
    <w:sdt>
      <w:sdtPr>
        <w:rPr>
          <w:rFonts w:ascii="Arial" w:eastAsia="Times New Roman" w:hAnsi="Arial" w:cs="Arial"/>
          <w:snapToGrid w:val="0"/>
          <w:color w:val="auto"/>
          <w:sz w:val="24"/>
          <w:szCs w:val="20"/>
          <w:lang w:val="en-GB" w:eastAsia="en-GB"/>
        </w:rPr>
        <w:id w:val="1515104500"/>
        <w:docPartObj>
          <w:docPartGallery w:val="Table of Contents"/>
          <w:docPartUnique/>
        </w:docPartObj>
      </w:sdtPr>
      <w:sdtEndPr>
        <w:rPr>
          <w:b/>
          <w:bCs/>
          <w:noProof/>
        </w:rPr>
      </w:sdtEndPr>
      <w:sdtContent>
        <w:p w14:paraId="641EB273" w14:textId="33C01FD9" w:rsidR="00050919" w:rsidRPr="00050919" w:rsidRDefault="00050919">
          <w:pPr>
            <w:pStyle w:val="TOCHeading"/>
            <w:rPr>
              <w:rFonts w:ascii="Arial" w:hAnsi="Arial" w:cs="Arial"/>
              <w:b/>
              <w:bCs/>
              <w:color w:val="auto"/>
            </w:rPr>
          </w:pPr>
          <w:r w:rsidRPr="00050919">
            <w:rPr>
              <w:rFonts w:ascii="Arial" w:hAnsi="Arial" w:cs="Arial"/>
              <w:b/>
              <w:bCs/>
              <w:color w:val="auto"/>
            </w:rPr>
            <w:t>Contents</w:t>
          </w:r>
        </w:p>
        <w:p w14:paraId="5D55402C" w14:textId="65BA4487" w:rsidR="001B714F" w:rsidRDefault="00050919" w:rsidP="001B714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2A8BB5B9" w14:textId="06F5C35A" w:rsidR="001B714F" w:rsidRDefault="001B714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2" w:history="1">
            <w:r w:rsidRPr="009144BD">
              <w:rPr>
                <w:rStyle w:val="Hyperlink"/>
                <w:noProof/>
              </w:rPr>
              <w:t>1.</w:t>
            </w:r>
            <w:r>
              <w:rPr>
                <w:rFonts w:asciiTheme="minorHAnsi" w:eastAsiaTheme="minorEastAsia" w:hAnsiTheme="minorHAnsi" w:cstheme="minorBidi"/>
                <w:noProof/>
                <w:snapToGrid/>
                <w:sz w:val="22"/>
                <w:szCs w:val="22"/>
              </w:rPr>
              <w:tab/>
            </w:r>
            <w:r w:rsidRPr="009144BD">
              <w:rPr>
                <w:rStyle w:val="Hyperlink"/>
                <w:noProof/>
              </w:rPr>
              <w:t>Fees</w:t>
            </w:r>
            <w:r>
              <w:rPr>
                <w:noProof/>
                <w:webHidden/>
              </w:rPr>
              <w:tab/>
            </w:r>
            <w:r>
              <w:rPr>
                <w:noProof/>
                <w:webHidden/>
              </w:rPr>
              <w:fldChar w:fldCharType="begin"/>
            </w:r>
            <w:r>
              <w:rPr>
                <w:noProof/>
                <w:webHidden/>
              </w:rPr>
              <w:instrText xml:space="preserve"> PAGEREF _Toc111027962 \h </w:instrText>
            </w:r>
            <w:r>
              <w:rPr>
                <w:noProof/>
                <w:webHidden/>
              </w:rPr>
            </w:r>
            <w:r>
              <w:rPr>
                <w:noProof/>
                <w:webHidden/>
              </w:rPr>
              <w:fldChar w:fldCharType="separate"/>
            </w:r>
            <w:r w:rsidR="00FC73B8">
              <w:rPr>
                <w:noProof/>
                <w:webHidden/>
              </w:rPr>
              <w:t>3</w:t>
            </w:r>
            <w:r>
              <w:rPr>
                <w:noProof/>
                <w:webHidden/>
              </w:rPr>
              <w:fldChar w:fldCharType="end"/>
            </w:r>
          </w:hyperlink>
        </w:p>
        <w:p w14:paraId="4CC73699" w14:textId="4CF253B8" w:rsidR="001B714F" w:rsidRDefault="001B714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3" w:history="1">
            <w:r w:rsidRPr="009144BD">
              <w:rPr>
                <w:rStyle w:val="Hyperlink"/>
                <w:noProof/>
              </w:rPr>
              <w:t>2.</w:t>
            </w:r>
            <w:r>
              <w:rPr>
                <w:rFonts w:asciiTheme="minorHAnsi" w:eastAsiaTheme="minorEastAsia" w:hAnsiTheme="minorHAnsi" w:cstheme="minorBidi"/>
                <w:noProof/>
                <w:snapToGrid/>
                <w:sz w:val="22"/>
                <w:szCs w:val="22"/>
              </w:rPr>
              <w:tab/>
            </w:r>
            <w:r w:rsidRPr="009144BD">
              <w:rPr>
                <w:rStyle w:val="Hyperlink"/>
                <w:noProof/>
              </w:rPr>
              <w:t>Incurring fees</w:t>
            </w:r>
            <w:r>
              <w:rPr>
                <w:noProof/>
                <w:webHidden/>
              </w:rPr>
              <w:tab/>
            </w:r>
            <w:r>
              <w:rPr>
                <w:noProof/>
                <w:webHidden/>
              </w:rPr>
              <w:fldChar w:fldCharType="begin"/>
            </w:r>
            <w:r>
              <w:rPr>
                <w:noProof/>
                <w:webHidden/>
              </w:rPr>
              <w:instrText xml:space="preserve"> PAGEREF _Toc111027963 \h </w:instrText>
            </w:r>
            <w:r>
              <w:rPr>
                <w:noProof/>
                <w:webHidden/>
              </w:rPr>
            </w:r>
            <w:r>
              <w:rPr>
                <w:noProof/>
                <w:webHidden/>
              </w:rPr>
              <w:fldChar w:fldCharType="separate"/>
            </w:r>
            <w:r w:rsidR="00FC73B8">
              <w:rPr>
                <w:noProof/>
                <w:webHidden/>
              </w:rPr>
              <w:t>3</w:t>
            </w:r>
            <w:r>
              <w:rPr>
                <w:noProof/>
                <w:webHidden/>
              </w:rPr>
              <w:fldChar w:fldCharType="end"/>
            </w:r>
          </w:hyperlink>
        </w:p>
        <w:p w14:paraId="118674DC" w14:textId="7A548766" w:rsidR="001B714F" w:rsidRDefault="001B714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4" w:history="1">
            <w:r w:rsidRPr="009144BD">
              <w:rPr>
                <w:rStyle w:val="Hyperlink"/>
                <w:noProof/>
              </w:rPr>
              <w:t>3.</w:t>
            </w:r>
            <w:r>
              <w:rPr>
                <w:rFonts w:asciiTheme="minorHAnsi" w:eastAsiaTheme="minorEastAsia" w:hAnsiTheme="minorHAnsi" w:cstheme="minorBidi"/>
                <w:noProof/>
                <w:snapToGrid/>
                <w:sz w:val="22"/>
                <w:szCs w:val="22"/>
              </w:rPr>
              <w:tab/>
            </w:r>
            <w:r w:rsidRPr="009144BD">
              <w:rPr>
                <w:rStyle w:val="Hyperlink"/>
                <w:noProof/>
              </w:rPr>
              <w:t>Payment</w:t>
            </w:r>
            <w:r>
              <w:rPr>
                <w:noProof/>
                <w:webHidden/>
              </w:rPr>
              <w:tab/>
            </w:r>
            <w:r>
              <w:rPr>
                <w:noProof/>
                <w:webHidden/>
              </w:rPr>
              <w:fldChar w:fldCharType="begin"/>
            </w:r>
            <w:r>
              <w:rPr>
                <w:noProof/>
                <w:webHidden/>
              </w:rPr>
              <w:instrText xml:space="preserve"> PAGEREF _Toc111027964 \h </w:instrText>
            </w:r>
            <w:r>
              <w:rPr>
                <w:noProof/>
                <w:webHidden/>
              </w:rPr>
            </w:r>
            <w:r>
              <w:rPr>
                <w:noProof/>
                <w:webHidden/>
              </w:rPr>
              <w:fldChar w:fldCharType="separate"/>
            </w:r>
            <w:r w:rsidR="00FC73B8">
              <w:rPr>
                <w:noProof/>
                <w:webHidden/>
              </w:rPr>
              <w:t>3</w:t>
            </w:r>
            <w:r>
              <w:rPr>
                <w:noProof/>
                <w:webHidden/>
              </w:rPr>
              <w:fldChar w:fldCharType="end"/>
            </w:r>
          </w:hyperlink>
        </w:p>
        <w:p w14:paraId="6E3DD743" w14:textId="5B7A4C5F" w:rsidR="001B714F" w:rsidRDefault="001B714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5" w:history="1">
            <w:r w:rsidRPr="009144BD">
              <w:rPr>
                <w:rStyle w:val="Hyperlink"/>
                <w:noProof/>
              </w:rPr>
              <w:t>4.</w:t>
            </w:r>
            <w:r>
              <w:rPr>
                <w:rFonts w:asciiTheme="minorHAnsi" w:eastAsiaTheme="minorEastAsia" w:hAnsiTheme="minorHAnsi" w:cstheme="minorBidi"/>
                <w:noProof/>
                <w:snapToGrid/>
                <w:sz w:val="22"/>
                <w:szCs w:val="22"/>
              </w:rPr>
              <w:tab/>
            </w:r>
            <w:r w:rsidRPr="009144BD">
              <w:rPr>
                <w:rStyle w:val="Hyperlink"/>
                <w:noProof/>
              </w:rPr>
              <w:t>Refunds</w:t>
            </w:r>
            <w:r>
              <w:rPr>
                <w:noProof/>
                <w:webHidden/>
              </w:rPr>
              <w:tab/>
            </w:r>
            <w:r>
              <w:rPr>
                <w:noProof/>
                <w:webHidden/>
              </w:rPr>
              <w:fldChar w:fldCharType="begin"/>
            </w:r>
            <w:r>
              <w:rPr>
                <w:noProof/>
                <w:webHidden/>
              </w:rPr>
              <w:instrText xml:space="preserve"> PAGEREF _Toc111027965 \h </w:instrText>
            </w:r>
            <w:r>
              <w:rPr>
                <w:noProof/>
                <w:webHidden/>
              </w:rPr>
            </w:r>
            <w:r>
              <w:rPr>
                <w:noProof/>
                <w:webHidden/>
              </w:rPr>
              <w:fldChar w:fldCharType="separate"/>
            </w:r>
            <w:r w:rsidR="00FC73B8">
              <w:rPr>
                <w:noProof/>
                <w:webHidden/>
              </w:rPr>
              <w:t>5</w:t>
            </w:r>
            <w:r>
              <w:rPr>
                <w:noProof/>
                <w:webHidden/>
              </w:rPr>
              <w:fldChar w:fldCharType="end"/>
            </w:r>
          </w:hyperlink>
        </w:p>
        <w:p w14:paraId="55782025" w14:textId="4015619B" w:rsidR="001B714F" w:rsidRDefault="001B714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6" w:history="1">
            <w:r w:rsidRPr="009144BD">
              <w:rPr>
                <w:rStyle w:val="Hyperlink"/>
                <w:noProof/>
              </w:rPr>
              <w:t>5.</w:t>
            </w:r>
            <w:r>
              <w:rPr>
                <w:rFonts w:asciiTheme="minorHAnsi" w:eastAsiaTheme="minorEastAsia" w:hAnsiTheme="minorHAnsi" w:cstheme="minorBidi"/>
                <w:noProof/>
                <w:snapToGrid/>
                <w:sz w:val="22"/>
                <w:szCs w:val="22"/>
              </w:rPr>
              <w:tab/>
            </w:r>
            <w:r w:rsidRPr="009144BD">
              <w:rPr>
                <w:rStyle w:val="Hyperlink"/>
                <w:noProof/>
              </w:rPr>
              <w:t>Failure to pay</w:t>
            </w:r>
            <w:r>
              <w:rPr>
                <w:noProof/>
                <w:webHidden/>
              </w:rPr>
              <w:tab/>
            </w:r>
            <w:r>
              <w:rPr>
                <w:noProof/>
                <w:webHidden/>
              </w:rPr>
              <w:fldChar w:fldCharType="begin"/>
            </w:r>
            <w:r>
              <w:rPr>
                <w:noProof/>
                <w:webHidden/>
              </w:rPr>
              <w:instrText xml:space="preserve"> PAGEREF _Toc111027966 \h </w:instrText>
            </w:r>
            <w:r>
              <w:rPr>
                <w:noProof/>
                <w:webHidden/>
              </w:rPr>
            </w:r>
            <w:r>
              <w:rPr>
                <w:noProof/>
                <w:webHidden/>
              </w:rPr>
              <w:fldChar w:fldCharType="separate"/>
            </w:r>
            <w:r w:rsidR="00FC73B8">
              <w:rPr>
                <w:noProof/>
                <w:webHidden/>
              </w:rPr>
              <w:t>8</w:t>
            </w:r>
            <w:r>
              <w:rPr>
                <w:noProof/>
                <w:webHidden/>
              </w:rPr>
              <w:fldChar w:fldCharType="end"/>
            </w:r>
          </w:hyperlink>
        </w:p>
        <w:p w14:paraId="08B0D50D" w14:textId="7C76208D" w:rsidR="00050919" w:rsidRDefault="00050919">
          <w:r>
            <w:rPr>
              <w:b/>
              <w:bCs/>
              <w:noProof/>
            </w:rPr>
            <w:fldChar w:fldCharType="end"/>
          </w:r>
        </w:p>
      </w:sdtContent>
    </w:sdt>
    <w:p w14:paraId="303E4AC3" w14:textId="77777777" w:rsidR="00050919" w:rsidRDefault="00050919">
      <w:pPr>
        <w:suppressAutoHyphens w:val="0"/>
        <w:spacing w:after="0" w:line="240" w:lineRule="auto"/>
        <w:rPr>
          <w:b/>
          <w:bCs/>
          <w:sz w:val="32"/>
          <w:szCs w:val="28"/>
        </w:rPr>
      </w:pPr>
      <w:r>
        <w:br w:type="page"/>
      </w:r>
    </w:p>
    <w:p w14:paraId="6FDD9E53" w14:textId="57CA83CC" w:rsidR="00BF47E9" w:rsidRPr="009B4704" w:rsidRDefault="00BF47E9" w:rsidP="00EC3258">
      <w:pPr>
        <w:pStyle w:val="Heading1"/>
        <w:numPr>
          <w:ilvl w:val="0"/>
          <w:numId w:val="3"/>
        </w:numPr>
        <w:spacing w:line="360" w:lineRule="auto"/>
        <w:rPr>
          <w:szCs w:val="32"/>
        </w:rPr>
      </w:pPr>
      <w:bookmarkStart w:id="2" w:name="_Toc111027962"/>
      <w:r w:rsidRPr="009B4704">
        <w:rPr>
          <w:szCs w:val="32"/>
        </w:rPr>
        <w:lastRenderedPageBreak/>
        <w:t>Fees</w:t>
      </w:r>
      <w:bookmarkEnd w:id="2"/>
    </w:p>
    <w:p w14:paraId="2049CD2A" w14:textId="77777777" w:rsidR="00BF47E9" w:rsidRPr="00BF47E9" w:rsidRDefault="00BF47E9" w:rsidP="00EC3258">
      <w:pPr>
        <w:pStyle w:val="ListParagraph"/>
        <w:numPr>
          <w:ilvl w:val="1"/>
          <w:numId w:val="3"/>
        </w:numPr>
      </w:pPr>
      <w:r w:rsidRPr="00BF47E9">
        <w:t>In these Fees Regulations, the term ‘Fees’ refers to any sum payable by a student in respect of tuition, supervision, assessment or conferment.</w:t>
      </w:r>
    </w:p>
    <w:p w14:paraId="1B7F15EC" w14:textId="77777777" w:rsidR="00BF47E9" w:rsidRPr="00BF47E9" w:rsidRDefault="00BF47E9" w:rsidP="00EC3258">
      <w:pPr>
        <w:pStyle w:val="ListParagraph"/>
        <w:numPr>
          <w:ilvl w:val="1"/>
          <w:numId w:val="3"/>
        </w:numPr>
      </w:pPr>
      <w:r w:rsidRPr="00BF47E9">
        <w:t>Fees are set by the Vice-Chancellor.</w:t>
      </w:r>
    </w:p>
    <w:p w14:paraId="0F2F0199" w14:textId="431586B5" w:rsidR="00BF47E9" w:rsidRPr="00BF47E9" w:rsidRDefault="00BF47E9" w:rsidP="00EC3258">
      <w:pPr>
        <w:pStyle w:val="ListParagraph"/>
        <w:numPr>
          <w:ilvl w:val="1"/>
          <w:numId w:val="3"/>
        </w:numPr>
      </w:pPr>
      <w:r w:rsidRPr="00BF47E9">
        <w:t xml:space="preserve">Fees are subject to annual revision. Changes to Fees in respect of Continuing Students will be limited to the greater of the annual change in the Retail Price Index or 5% per annum. </w:t>
      </w:r>
    </w:p>
    <w:p w14:paraId="4CA363B6" w14:textId="563BDC5A" w:rsidR="00BF47E9" w:rsidRDefault="00BF47E9" w:rsidP="00EC3258">
      <w:pPr>
        <w:pStyle w:val="Heading1"/>
        <w:numPr>
          <w:ilvl w:val="0"/>
          <w:numId w:val="3"/>
        </w:numPr>
        <w:spacing w:line="360" w:lineRule="auto"/>
      </w:pPr>
      <w:bookmarkStart w:id="3" w:name="_Toc111027963"/>
      <w:r>
        <w:t>Incurring fees</w:t>
      </w:r>
      <w:bookmarkEnd w:id="3"/>
    </w:p>
    <w:p w14:paraId="7764D660" w14:textId="77777777" w:rsidR="00BF47E9" w:rsidRPr="00BF47E9" w:rsidRDefault="00BF47E9" w:rsidP="00EC3258">
      <w:pPr>
        <w:pStyle w:val="ListParagraph"/>
        <w:numPr>
          <w:ilvl w:val="1"/>
          <w:numId w:val="3"/>
        </w:numPr>
      </w:pPr>
      <w:r w:rsidRPr="00BF47E9">
        <w:t>Fees are incurred on enrolment for the whole of each year of academic study or for each module taken.</w:t>
      </w:r>
    </w:p>
    <w:p w14:paraId="518142C2" w14:textId="6468DEE7" w:rsidR="00BF47E9" w:rsidRPr="00BF47E9" w:rsidRDefault="00BF47E9" w:rsidP="00EC3258">
      <w:pPr>
        <w:pStyle w:val="ListParagraph"/>
        <w:numPr>
          <w:ilvl w:val="1"/>
          <w:numId w:val="3"/>
        </w:numPr>
      </w:pPr>
      <w:r w:rsidRPr="00BF47E9">
        <w:t>Fees are incurred immediately on enrolment – there is no ‘fee free’ period. This does not affect any statutory right the student has to cancel their enrolment within 14 days unless that right has been waived.</w:t>
      </w:r>
    </w:p>
    <w:p w14:paraId="5DBDFD54" w14:textId="7FCCDBC2" w:rsidR="00BF47E9" w:rsidRDefault="00BF47E9" w:rsidP="00EC3258">
      <w:pPr>
        <w:pStyle w:val="Heading1"/>
        <w:numPr>
          <w:ilvl w:val="0"/>
          <w:numId w:val="3"/>
        </w:numPr>
        <w:spacing w:line="360" w:lineRule="auto"/>
      </w:pPr>
      <w:bookmarkStart w:id="4" w:name="_Toc111027964"/>
      <w:r>
        <w:t>Payment</w:t>
      </w:r>
      <w:bookmarkEnd w:id="4"/>
    </w:p>
    <w:p w14:paraId="16950B74" w14:textId="77777777" w:rsidR="00BF47E9" w:rsidRPr="00BF47E9" w:rsidRDefault="00BF47E9" w:rsidP="00EC3258">
      <w:pPr>
        <w:pStyle w:val="ListParagraph"/>
        <w:numPr>
          <w:ilvl w:val="1"/>
          <w:numId w:val="3"/>
        </w:numPr>
      </w:pPr>
      <w:r w:rsidRPr="00BF47E9">
        <w:t>It is the student’s responsibility to pay their Fees. In the event that any personal sponsor, sponsoring company or authority or the Student Loans Company (SLC) fails to pay the Fees the student remains liable to pay the Fees;</w:t>
      </w:r>
    </w:p>
    <w:p w14:paraId="1A06E0BC" w14:textId="7CF3EB27" w:rsidR="00BF47E9" w:rsidRPr="00BF47E9" w:rsidRDefault="00BF47E9" w:rsidP="00EC3258">
      <w:pPr>
        <w:pStyle w:val="ListParagraph"/>
        <w:numPr>
          <w:ilvl w:val="1"/>
          <w:numId w:val="3"/>
        </w:numPr>
      </w:pPr>
      <w:r w:rsidRPr="00BF47E9">
        <w:t xml:space="preserve">Pursuant to regulation </w:t>
      </w:r>
      <w:r w:rsidR="00362004">
        <w:t>4.</w:t>
      </w:r>
      <w:r w:rsidR="009D21C1">
        <w:t>7</w:t>
      </w:r>
      <w:r w:rsidRPr="00BF47E9">
        <w:t xml:space="preserve"> of the Academic Regulations, all students must pay their Fees in full or make arrangements for payment that are acceptable to the University before enrolment for each academic year;</w:t>
      </w:r>
    </w:p>
    <w:p w14:paraId="776D1A56" w14:textId="77777777" w:rsidR="00BF47E9" w:rsidRPr="00BF47E9" w:rsidRDefault="00BF47E9" w:rsidP="00EC3258">
      <w:pPr>
        <w:pStyle w:val="ListParagraph"/>
        <w:numPr>
          <w:ilvl w:val="1"/>
          <w:numId w:val="3"/>
        </w:numPr>
      </w:pPr>
      <w:r w:rsidRPr="00BF47E9">
        <w:t>The following arrangements are usually acceptable to the University:</w:t>
      </w:r>
    </w:p>
    <w:tbl>
      <w:tblPr>
        <w:tblStyle w:val="TableGrid"/>
        <w:tblW w:w="0" w:type="auto"/>
        <w:tblInd w:w="709" w:type="dxa"/>
        <w:tblLook w:val="04A0" w:firstRow="1" w:lastRow="0" w:firstColumn="1" w:lastColumn="0" w:noHBand="0" w:noVBand="1"/>
        <w:tblCaption w:val="Acceptable payment arrangements for home and international fees"/>
        <w:tblDescription w:val="A table which explains the payment arrangements for home and international students which are acceptable to the University."/>
      </w:tblPr>
      <w:tblGrid>
        <w:gridCol w:w="4114"/>
        <w:gridCol w:w="4187"/>
      </w:tblGrid>
      <w:tr w:rsidR="00BF47E9" w:rsidRPr="00BB697C" w14:paraId="12197ED6" w14:textId="77777777" w:rsidTr="00C05B08">
        <w:trPr>
          <w:cantSplit/>
          <w:tblHeader/>
        </w:trPr>
        <w:tc>
          <w:tcPr>
            <w:tcW w:w="4117" w:type="dxa"/>
            <w:shd w:val="clear" w:color="auto" w:fill="D9D9D9" w:themeFill="background1" w:themeFillShade="D9"/>
          </w:tcPr>
          <w:p w14:paraId="30A26DC0" w14:textId="77777777" w:rsidR="00BF47E9" w:rsidRPr="00BB697C" w:rsidRDefault="00BF47E9" w:rsidP="00EC3258">
            <w:pPr>
              <w:rPr>
                <w:b/>
                <w:bCs/>
                <w:szCs w:val="24"/>
              </w:rPr>
            </w:pPr>
            <w:r w:rsidRPr="00BB697C">
              <w:rPr>
                <w:b/>
                <w:bCs/>
                <w:szCs w:val="24"/>
              </w:rPr>
              <w:t>Home Fees</w:t>
            </w:r>
          </w:p>
        </w:tc>
        <w:tc>
          <w:tcPr>
            <w:tcW w:w="4190" w:type="dxa"/>
            <w:shd w:val="clear" w:color="auto" w:fill="D9D9D9" w:themeFill="background1" w:themeFillShade="D9"/>
          </w:tcPr>
          <w:p w14:paraId="62592CD3" w14:textId="77777777" w:rsidR="00BF47E9" w:rsidRPr="00BB697C" w:rsidRDefault="00BF47E9" w:rsidP="00EC3258">
            <w:pPr>
              <w:rPr>
                <w:b/>
                <w:bCs/>
                <w:szCs w:val="24"/>
              </w:rPr>
            </w:pPr>
            <w:r w:rsidRPr="00BB697C">
              <w:rPr>
                <w:b/>
                <w:bCs/>
                <w:szCs w:val="24"/>
              </w:rPr>
              <w:t>International Fees</w:t>
            </w:r>
          </w:p>
        </w:tc>
      </w:tr>
      <w:tr w:rsidR="00BF47E9" w:rsidRPr="00C80099" w14:paraId="68E7AE11" w14:textId="77777777" w:rsidTr="00C05B08">
        <w:tc>
          <w:tcPr>
            <w:tcW w:w="4117" w:type="dxa"/>
            <w:hideMark/>
          </w:tcPr>
          <w:p w14:paraId="77238598" w14:textId="77777777" w:rsidR="00BF47E9" w:rsidRPr="00C80099" w:rsidRDefault="00BF47E9" w:rsidP="00EC3258">
            <w:pPr>
              <w:rPr>
                <w:color w:val="222222"/>
                <w:szCs w:val="24"/>
              </w:rPr>
            </w:pPr>
            <w:r w:rsidRPr="00C80099">
              <w:rPr>
                <w:color w:val="222222"/>
                <w:szCs w:val="24"/>
              </w:rPr>
              <w:t>Tuition fee loan from SLC, provided the University receives confirmation of funding from the SLC at or before enrolment.</w:t>
            </w:r>
          </w:p>
          <w:p w14:paraId="46AC2E1E" w14:textId="4426BB5C" w:rsidR="00BF47E9" w:rsidRPr="00C80099" w:rsidRDefault="00BF47E9" w:rsidP="00EC3258">
            <w:pPr>
              <w:rPr>
                <w:color w:val="222222"/>
                <w:szCs w:val="24"/>
              </w:rPr>
            </w:pPr>
            <w:r w:rsidRPr="00C80099">
              <w:rPr>
                <w:color w:val="222222"/>
                <w:szCs w:val="24"/>
              </w:rPr>
              <w:t xml:space="preserve">If this confirmation is not provided at </w:t>
            </w:r>
            <w:r w:rsidRPr="00C80099">
              <w:rPr>
                <w:color w:val="222222"/>
                <w:szCs w:val="24"/>
              </w:rPr>
              <w:lastRenderedPageBreak/>
              <w:t>enrolment, then the student must provide the University with proof of application to the SLC at enrolment.</w:t>
            </w:r>
          </w:p>
          <w:p w14:paraId="5672145B" w14:textId="77777777" w:rsidR="00BF47E9" w:rsidRPr="00C80099" w:rsidRDefault="00BF47E9" w:rsidP="00EC3258">
            <w:pPr>
              <w:rPr>
                <w:color w:val="222222"/>
                <w:szCs w:val="24"/>
              </w:rPr>
            </w:pPr>
            <w:r w:rsidRPr="00C80099">
              <w:rPr>
                <w:color w:val="222222"/>
                <w:szCs w:val="24"/>
              </w:rPr>
              <w:t>The student remains responsible for fee payment if the SLC does not agree to pay the fee</w:t>
            </w:r>
          </w:p>
        </w:tc>
        <w:tc>
          <w:tcPr>
            <w:tcW w:w="4190" w:type="dxa"/>
            <w:hideMark/>
          </w:tcPr>
          <w:p w14:paraId="7183D0A1" w14:textId="77777777" w:rsidR="00BF47E9" w:rsidRPr="00C80099" w:rsidRDefault="00BF47E9" w:rsidP="00EC3258">
            <w:pPr>
              <w:rPr>
                <w:color w:val="222222"/>
                <w:szCs w:val="24"/>
              </w:rPr>
            </w:pPr>
            <w:r w:rsidRPr="00C80099">
              <w:rPr>
                <w:color w:val="222222"/>
                <w:szCs w:val="24"/>
              </w:rPr>
              <w:lastRenderedPageBreak/>
              <w:t> n/a</w:t>
            </w:r>
          </w:p>
        </w:tc>
      </w:tr>
      <w:tr w:rsidR="00BF47E9" w:rsidRPr="00C80099" w14:paraId="5F31FFF5" w14:textId="77777777" w:rsidTr="00C05B08">
        <w:tc>
          <w:tcPr>
            <w:tcW w:w="4117" w:type="dxa"/>
          </w:tcPr>
          <w:p w14:paraId="1B0DAC80" w14:textId="77777777" w:rsidR="00BF47E9" w:rsidRPr="00C80099" w:rsidRDefault="00BF47E9" w:rsidP="00C05B08">
            <w:pPr>
              <w:rPr>
                <w:szCs w:val="24"/>
              </w:rPr>
            </w:pPr>
            <w:r w:rsidRPr="00C80099">
              <w:rPr>
                <w:color w:val="222222"/>
                <w:szCs w:val="24"/>
              </w:rPr>
              <w:t>Postgraduate Loan from the Student Loan Company, 3 equal instalments in line with the loan payment schedule</w:t>
            </w:r>
          </w:p>
        </w:tc>
        <w:tc>
          <w:tcPr>
            <w:tcW w:w="4190" w:type="dxa"/>
          </w:tcPr>
          <w:p w14:paraId="769F7AAC" w14:textId="77777777" w:rsidR="00BF47E9" w:rsidRPr="00C80099" w:rsidRDefault="00BF47E9" w:rsidP="00C05B08">
            <w:pPr>
              <w:rPr>
                <w:szCs w:val="24"/>
              </w:rPr>
            </w:pPr>
            <w:r w:rsidRPr="00C80099">
              <w:rPr>
                <w:color w:val="222222"/>
                <w:szCs w:val="24"/>
              </w:rPr>
              <w:t> n/a</w:t>
            </w:r>
          </w:p>
        </w:tc>
      </w:tr>
      <w:tr w:rsidR="00BF47E9" w:rsidRPr="00C80099" w14:paraId="49E33A9C" w14:textId="77777777" w:rsidTr="00C05B08">
        <w:tc>
          <w:tcPr>
            <w:tcW w:w="4117" w:type="dxa"/>
            <w:hideMark/>
          </w:tcPr>
          <w:p w14:paraId="44F23F03" w14:textId="195E3449" w:rsidR="00BF47E9" w:rsidRPr="00C80099" w:rsidRDefault="00BF47E9" w:rsidP="00BF47E9">
            <w:pPr>
              <w:rPr>
                <w:color w:val="222222"/>
                <w:szCs w:val="24"/>
              </w:rPr>
            </w:pPr>
            <w:r w:rsidRPr="00C80099">
              <w:rPr>
                <w:color w:val="222222"/>
                <w:szCs w:val="24"/>
              </w:rPr>
              <w:t>From a sponsor (for example a student’s employer) that the sponsor will assume responsibility for payment of the student’s fees.</w:t>
            </w:r>
          </w:p>
          <w:p w14:paraId="1C683E05" w14:textId="77777777" w:rsidR="00BF47E9" w:rsidRPr="00C80099" w:rsidRDefault="00BF47E9" w:rsidP="00C05B08">
            <w:pPr>
              <w:rPr>
                <w:color w:val="222222"/>
                <w:szCs w:val="24"/>
              </w:rPr>
            </w:pPr>
            <w:r w:rsidRPr="00C80099">
              <w:rPr>
                <w:color w:val="222222"/>
                <w:szCs w:val="24"/>
              </w:rPr>
              <w:t>The student must provide the University with a purchase order from the sponsor showing the total value of fees that the sponsor will pay. This purchase order must be provided at or before enrolment.</w:t>
            </w:r>
          </w:p>
          <w:p w14:paraId="734CA82F" w14:textId="05AA318F" w:rsidR="00BF47E9" w:rsidRPr="00C80099" w:rsidRDefault="00BF47E9" w:rsidP="00BF47E9">
            <w:pPr>
              <w:rPr>
                <w:color w:val="222222"/>
                <w:szCs w:val="24"/>
              </w:rPr>
            </w:pPr>
            <w:r w:rsidRPr="00C80099">
              <w:rPr>
                <w:color w:val="222222"/>
                <w:szCs w:val="24"/>
              </w:rPr>
              <w:t>Payment terms require payment within 30 days of the invoice to the sponsor.</w:t>
            </w:r>
          </w:p>
          <w:p w14:paraId="5EDD015E" w14:textId="77777777" w:rsidR="00BF47E9" w:rsidRPr="00C80099" w:rsidRDefault="00BF47E9" w:rsidP="00C05B08">
            <w:pPr>
              <w:rPr>
                <w:color w:val="222222"/>
                <w:szCs w:val="24"/>
              </w:rPr>
            </w:pPr>
            <w:r w:rsidRPr="00C80099">
              <w:rPr>
                <w:color w:val="222222"/>
                <w:szCs w:val="24"/>
              </w:rPr>
              <w:t>The student remains responsible for fee payment in the event of default by their sponsor.</w:t>
            </w:r>
          </w:p>
        </w:tc>
        <w:tc>
          <w:tcPr>
            <w:tcW w:w="4190" w:type="dxa"/>
            <w:hideMark/>
          </w:tcPr>
          <w:p w14:paraId="59E03EC0" w14:textId="387E5180" w:rsidR="00BF47E9" w:rsidRPr="00C80099" w:rsidRDefault="00BF47E9" w:rsidP="00BF47E9">
            <w:pPr>
              <w:rPr>
                <w:color w:val="222222"/>
                <w:szCs w:val="24"/>
              </w:rPr>
            </w:pPr>
            <w:r w:rsidRPr="00C80099">
              <w:rPr>
                <w:color w:val="222222"/>
                <w:szCs w:val="24"/>
              </w:rPr>
              <w:t>From a sponsor (for example a student’s employer) that the sponsor will assume responsibility for payment of the student’s fees.</w:t>
            </w:r>
          </w:p>
          <w:p w14:paraId="0AD43387" w14:textId="77777777" w:rsidR="00BF47E9" w:rsidRPr="00C80099" w:rsidRDefault="00BF47E9" w:rsidP="00C05B08">
            <w:pPr>
              <w:rPr>
                <w:color w:val="222222"/>
                <w:szCs w:val="24"/>
              </w:rPr>
            </w:pPr>
            <w:r w:rsidRPr="00C80099">
              <w:rPr>
                <w:color w:val="222222"/>
                <w:szCs w:val="24"/>
              </w:rPr>
              <w:t>The student must provide the University with a purchase order from the sponsor showing the total value of fees that the sponsor will pay. This purchase order must be provided at or before enrolment.</w:t>
            </w:r>
          </w:p>
          <w:p w14:paraId="13F87B19" w14:textId="44AC6336" w:rsidR="00BF47E9" w:rsidRPr="00C80099" w:rsidRDefault="00BF47E9" w:rsidP="00BF47E9">
            <w:pPr>
              <w:rPr>
                <w:color w:val="222222"/>
                <w:szCs w:val="24"/>
              </w:rPr>
            </w:pPr>
            <w:r w:rsidRPr="00C80099">
              <w:rPr>
                <w:color w:val="222222"/>
                <w:szCs w:val="24"/>
              </w:rPr>
              <w:t>Payment terms require payment within 30 days of the invoice to the sponsor.</w:t>
            </w:r>
          </w:p>
          <w:p w14:paraId="3E973544" w14:textId="77777777" w:rsidR="00BF47E9" w:rsidRPr="00C80099" w:rsidRDefault="00BF47E9" w:rsidP="00C05B08">
            <w:pPr>
              <w:rPr>
                <w:color w:val="222222"/>
                <w:szCs w:val="24"/>
              </w:rPr>
            </w:pPr>
            <w:r w:rsidRPr="00C80099">
              <w:rPr>
                <w:color w:val="222222"/>
                <w:szCs w:val="24"/>
              </w:rPr>
              <w:t>The student remains responsible for fee payment in the event of default by their sponsor.</w:t>
            </w:r>
          </w:p>
        </w:tc>
      </w:tr>
      <w:tr w:rsidR="00BF47E9" w:rsidRPr="00C80099" w14:paraId="38D47F7E" w14:textId="77777777" w:rsidTr="00C05B08">
        <w:tc>
          <w:tcPr>
            <w:tcW w:w="4117" w:type="dxa"/>
          </w:tcPr>
          <w:p w14:paraId="2D4C4266" w14:textId="2C5C8F07" w:rsidR="00BF47E9" w:rsidRPr="00C80099" w:rsidRDefault="00BF47E9" w:rsidP="00C05B08">
            <w:pPr>
              <w:rPr>
                <w:szCs w:val="24"/>
              </w:rPr>
            </w:pPr>
            <w:r w:rsidRPr="00C80099">
              <w:rPr>
                <w:color w:val="222222"/>
                <w:szCs w:val="24"/>
              </w:rPr>
              <w:t xml:space="preserve">2 </w:t>
            </w:r>
            <w:r w:rsidR="00173D81">
              <w:rPr>
                <w:color w:val="222222"/>
                <w:szCs w:val="24"/>
              </w:rPr>
              <w:t xml:space="preserve">or 3 </w:t>
            </w:r>
            <w:r w:rsidRPr="00C80099">
              <w:rPr>
                <w:color w:val="222222"/>
                <w:szCs w:val="24"/>
              </w:rPr>
              <w:t>equal instalments: 50%</w:t>
            </w:r>
            <w:r w:rsidR="009C0DDD">
              <w:rPr>
                <w:color w:val="222222"/>
                <w:szCs w:val="24"/>
              </w:rPr>
              <w:t xml:space="preserve"> of </w:t>
            </w:r>
            <w:r w:rsidR="009C0DDD">
              <w:rPr>
                <w:color w:val="222222"/>
                <w:szCs w:val="24"/>
              </w:rPr>
              <w:lastRenderedPageBreak/>
              <w:t>tuition fees</w:t>
            </w:r>
            <w:r w:rsidRPr="00C80099">
              <w:rPr>
                <w:color w:val="222222"/>
                <w:szCs w:val="24"/>
              </w:rPr>
              <w:t xml:space="preserve"> on enrolment and </w:t>
            </w:r>
            <w:r w:rsidR="009C0DDD">
              <w:rPr>
                <w:color w:val="222222"/>
                <w:szCs w:val="24"/>
              </w:rPr>
              <w:t xml:space="preserve">remaining </w:t>
            </w:r>
            <w:r w:rsidRPr="00C80099">
              <w:rPr>
                <w:color w:val="222222"/>
                <w:szCs w:val="24"/>
              </w:rPr>
              <w:t>50% within 3 months from the start of the course.</w:t>
            </w:r>
          </w:p>
        </w:tc>
        <w:tc>
          <w:tcPr>
            <w:tcW w:w="4190" w:type="dxa"/>
          </w:tcPr>
          <w:p w14:paraId="619C00B8" w14:textId="0A11118A" w:rsidR="00BF47E9" w:rsidRPr="00C80099" w:rsidRDefault="00BF47E9" w:rsidP="00C05B08">
            <w:pPr>
              <w:rPr>
                <w:szCs w:val="24"/>
              </w:rPr>
            </w:pPr>
            <w:r w:rsidRPr="00C80099">
              <w:rPr>
                <w:color w:val="222222"/>
                <w:szCs w:val="24"/>
              </w:rPr>
              <w:lastRenderedPageBreak/>
              <w:t xml:space="preserve">2 </w:t>
            </w:r>
            <w:r w:rsidR="00173D81">
              <w:rPr>
                <w:color w:val="222222"/>
                <w:szCs w:val="24"/>
              </w:rPr>
              <w:t xml:space="preserve">or 3 </w:t>
            </w:r>
            <w:r w:rsidRPr="00C80099">
              <w:rPr>
                <w:color w:val="222222"/>
                <w:szCs w:val="24"/>
              </w:rPr>
              <w:t xml:space="preserve">equal instalments: 50% </w:t>
            </w:r>
            <w:r w:rsidR="009C0DDD">
              <w:rPr>
                <w:color w:val="222222"/>
                <w:szCs w:val="24"/>
              </w:rPr>
              <w:t xml:space="preserve">of </w:t>
            </w:r>
            <w:r w:rsidR="009C0DDD">
              <w:rPr>
                <w:color w:val="222222"/>
                <w:szCs w:val="24"/>
              </w:rPr>
              <w:lastRenderedPageBreak/>
              <w:t>tuition fees</w:t>
            </w:r>
            <w:r w:rsidR="009C0DDD" w:rsidRPr="00C80099">
              <w:rPr>
                <w:color w:val="222222"/>
                <w:szCs w:val="24"/>
              </w:rPr>
              <w:t xml:space="preserve"> </w:t>
            </w:r>
            <w:r w:rsidRPr="00C80099">
              <w:rPr>
                <w:color w:val="222222"/>
                <w:szCs w:val="24"/>
              </w:rPr>
              <w:t xml:space="preserve">on enrolment and </w:t>
            </w:r>
            <w:r w:rsidR="009C0DDD">
              <w:rPr>
                <w:color w:val="222222"/>
                <w:szCs w:val="24"/>
              </w:rPr>
              <w:t xml:space="preserve">remaining </w:t>
            </w:r>
            <w:r w:rsidRPr="00C80099">
              <w:rPr>
                <w:color w:val="222222"/>
                <w:szCs w:val="24"/>
              </w:rPr>
              <w:t>50% within 3 months from the start of the course.</w:t>
            </w:r>
          </w:p>
        </w:tc>
      </w:tr>
      <w:tr w:rsidR="00BF47E9" w:rsidRPr="00C80099" w14:paraId="6B4BB5E9" w14:textId="77777777" w:rsidTr="00C05B08">
        <w:tc>
          <w:tcPr>
            <w:tcW w:w="4117" w:type="dxa"/>
          </w:tcPr>
          <w:p w14:paraId="4B2BC6C9" w14:textId="77777777" w:rsidR="00BF47E9" w:rsidRPr="00C80099" w:rsidRDefault="00BF47E9" w:rsidP="00C05B08">
            <w:pPr>
              <w:rPr>
                <w:szCs w:val="24"/>
              </w:rPr>
            </w:pPr>
            <w:r w:rsidRPr="00C80099">
              <w:rPr>
                <w:color w:val="222222"/>
                <w:szCs w:val="24"/>
              </w:rPr>
              <w:lastRenderedPageBreak/>
              <w:t>9 equal instalments, the first payable at enrolment, then eight equal payments on the last working day of the month.</w:t>
            </w:r>
          </w:p>
        </w:tc>
        <w:tc>
          <w:tcPr>
            <w:tcW w:w="4190" w:type="dxa"/>
          </w:tcPr>
          <w:p w14:paraId="6975E7D5" w14:textId="77777777" w:rsidR="00BF47E9" w:rsidRPr="00C80099" w:rsidRDefault="00BF47E9" w:rsidP="00C05B08">
            <w:pPr>
              <w:rPr>
                <w:szCs w:val="24"/>
              </w:rPr>
            </w:pPr>
            <w:r w:rsidRPr="00C80099">
              <w:rPr>
                <w:color w:val="222222"/>
                <w:szCs w:val="24"/>
              </w:rPr>
              <w:t> n/a</w:t>
            </w:r>
          </w:p>
        </w:tc>
      </w:tr>
    </w:tbl>
    <w:p w14:paraId="71178EF2" w14:textId="62E1F9F2" w:rsidR="00BF47E9" w:rsidRDefault="00BF47E9" w:rsidP="00BF47E9">
      <w:pPr>
        <w:pStyle w:val="ListParagraph"/>
        <w:numPr>
          <w:ilvl w:val="0"/>
          <w:numId w:val="0"/>
        </w:numPr>
        <w:ind w:left="1080"/>
      </w:pPr>
    </w:p>
    <w:p w14:paraId="2327B3CE" w14:textId="77777777" w:rsidR="00BF47E9" w:rsidRPr="00BF47E9" w:rsidRDefault="00BF47E9" w:rsidP="00EC3258">
      <w:pPr>
        <w:pStyle w:val="ListParagraph"/>
        <w:numPr>
          <w:ilvl w:val="1"/>
          <w:numId w:val="3"/>
        </w:numPr>
      </w:pPr>
      <w:r w:rsidRPr="00BF47E9">
        <w:t>The University may decline to accept any of the methods set out in regulation 3.3 above (especially (but not exclusively) where the student has previously defaulted on a payment arrangement or the fees are below a minimum amount), in which case the fees shall be payable in full before enrolment.</w:t>
      </w:r>
    </w:p>
    <w:p w14:paraId="4BB1025C" w14:textId="77777777" w:rsidR="00BF47E9" w:rsidRPr="00BF47E9" w:rsidRDefault="00BF47E9" w:rsidP="00EC3258">
      <w:pPr>
        <w:pStyle w:val="ListParagraph"/>
        <w:numPr>
          <w:ilvl w:val="1"/>
          <w:numId w:val="3"/>
        </w:numPr>
      </w:pPr>
      <w:r w:rsidRPr="00BF47E9">
        <w:t>It is the student’s responsibility to make any arrangements with any person providing them with a loan to fund their Fees (including Student Finance England or other bodies). The University will cooperate with any reasonable request that the student makes for information to be provided to any person providing them with a loan to fund their Fees, but the University does not accept any responsibility for any delay or failure of person providing the student with a loan to make payments.</w:t>
      </w:r>
    </w:p>
    <w:p w14:paraId="706E6843" w14:textId="4A76F9CC" w:rsidR="00D27C11" w:rsidRDefault="00D27C11" w:rsidP="00EC3258">
      <w:pPr>
        <w:pStyle w:val="Heading1"/>
        <w:numPr>
          <w:ilvl w:val="0"/>
          <w:numId w:val="3"/>
        </w:numPr>
        <w:spacing w:line="360" w:lineRule="auto"/>
      </w:pPr>
      <w:bookmarkStart w:id="5" w:name="_Toc111027965"/>
      <w:r>
        <w:t>Refunds</w:t>
      </w:r>
      <w:bookmarkEnd w:id="5"/>
    </w:p>
    <w:p w14:paraId="40326207" w14:textId="77777777" w:rsidR="00D27C11" w:rsidRPr="00D27C11" w:rsidRDefault="00D27C11" w:rsidP="00EC3258">
      <w:pPr>
        <w:pStyle w:val="ListParagraph"/>
        <w:numPr>
          <w:ilvl w:val="1"/>
          <w:numId w:val="3"/>
        </w:numPr>
      </w:pPr>
      <w:r w:rsidRPr="00D27C11">
        <w:t>This regulation 4 does not apply should a student exercise their statutory right to cancel their enrolment within 14 days, in which case no fees or charges will apply, and any monies paid will be refunded. The right to cancel may be waived in accordance with the applicable legislation.</w:t>
      </w:r>
    </w:p>
    <w:p w14:paraId="7F5777C4" w14:textId="77777777" w:rsidR="00D27C11" w:rsidRDefault="00D27C11" w:rsidP="00D27C11">
      <w:pPr>
        <w:pStyle w:val="ListParagraph"/>
        <w:numPr>
          <w:ilvl w:val="1"/>
          <w:numId w:val="3"/>
        </w:numPr>
      </w:pPr>
      <w:r>
        <w:t>Any refund is subject to the student:</w:t>
      </w:r>
    </w:p>
    <w:p w14:paraId="599A8413" w14:textId="5E8374FB" w:rsidR="00D27C11" w:rsidRDefault="00D27C11" w:rsidP="003E29DE">
      <w:pPr>
        <w:pStyle w:val="ListParagraph"/>
        <w:numPr>
          <w:ilvl w:val="2"/>
          <w:numId w:val="3"/>
        </w:numPr>
      </w:pPr>
      <w:r>
        <w:t>Providing evidence that they have complied with any relevant immigration regulations; and</w:t>
      </w:r>
    </w:p>
    <w:p w14:paraId="17C9C012" w14:textId="4254304F" w:rsidR="00D27C11" w:rsidRDefault="00D27C11" w:rsidP="003E29DE">
      <w:pPr>
        <w:pStyle w:val="ListParagraph"/>
        <w:numPr>
          <w:ilvl w:val="2"/>
          <w:numId w:val="3"/>
        </w:numPr>
      </w:pPr>
      <w:r>
        <w:t xml:space="preserve">Returned all items belonging to the University to the University. </w:t>
      </w:r>
    </w:p>
    <w:p w14:paraId="4BF01E54" w14:textId="363FA779" w:rsidR="00D27C11" w:rsidRDefault="00D27C11" w:rsidP="00D27C11">
      <w:pPr>
        <w:pStyle w:val="ListParagraph"/>
        <w:numPr>
          <w:ilvl w:val="1"/>
          <w:numId w:val="3"/>
        </w:numPr>
      </w:pPr>
      <w:r w:rsidRPr="00D27C11">
        <w:lastRenderedPageBreak/>
        <w:t>In respect of undergraduate and taught postgraduate students who enrolled and then intermitted, withdr</w:t>
      </w:r>
      <w:r w:rsidR="00EC350F">
        <w:t>a</w:t>
      </w:r>
      <w:r w:rsidRPr="00D27C11">
        <w:t>w or their studies terminated the following refund on fees paid will be applied:</w:t>
      </w:r>
    </w:p>
    <w:p w14:paraId="050E1977" w14:textId="77777777" w:rsidR="00D27C11" w:rsidRDefault="00D27C11" w:rsidP="00D27C11">
      <w:pPr>
        <w:pStyle w:val="ListParagraph"/>
        <w:numPr>
          <w:ilvl w:val="0"/>
          <w:numId w:val="0"/>
        </w:numPr>
        <w:ind w:left="1080"/>
      </w:pPr>
    </w:p>
    <w:tbl>
      <w:tblPr>
        <w:tblStyle w:val="TableGrid"/>
        <w:tblW w:w="0" w:type="auto"/>
        <w:tblInd w:w="1080" w:type="dxa"/>
        <w:tblLook w:val="04A0" w:firstRow="1" w:lastRow="0" w:firstColumn="1" w:lastColumn="0" w:noHBand="0" w:noVBand="1"/>
        <w:tblCaption w:val="Fees applied to students who enrolled and then intermitted, withdrew or had their studies terminated"/>
        <w:tblDescription w:val="Table which shows the fees applied to students who enrolled and then intermitted, withdrew or had their studies terminated. This is for undergraduate and taught post graduate students."/>
      </w:tblPr>
      <w:tblGrid>
        <w:gridCol w:w="3982"/>
        <w:gridCol w:w="3948"/>
      </w:tblGrid>
      <w:tr w:rsidR="00D27C11" w14:paraId="3E119B81" w14:textId="77777777" w:rsidTr="00D27C11">
        <w:trPr>
          <w:cantSplit/>
          <w:tblHeader/>
        </w:trPr>
        <w:tc>
          <w:tcPr>
            <w:tcW w:w="3982" w:type="dxa"/>
            <w:shd w:val="clear" w:color="auto" w:fill="D9D9D9" w:themeFill="background1" w:themeFillShade="D9"/>
          </w:tcPr>
          <w:p w14:paraId="62CEA66B" w14:textId="5D34A269" w:rsidR="00D27C11" w:rsidRDefault="00D27C11" w:rsidP="00D27C11">
            <w:pPr>
              <w:pStyle w:val="ListParagraph"/>
              <w:numPr>
                <w:ilvl w:val="0"/>
                <w:numId w:val="0"/>
              </w:numPr>
            </w:pPr>
            <w:r>
              <w:t>Undergraduate</w:t>
            </w:r>
          </w:p>
        </w:tc>
        <w:tc>
          <w:tcPr>
            <w:tcW w:w="3948" w:type="dxa"/>
            <w:shd w:val="clear" w:color="auto" w:fill="D9D9D9" w:themeFill="background1" w:themeFillShade="D9"/>
          </w:tcPr>
          <w:p w14:paraId="2CD337D4" w14:textId="06C50FEA" w:rsidR="00D27C11" w:rsidRDefault="00D27C11" w:rsidP="00D27C11">
            <w:pPr>
              <w:pStyle w:val="ListParagraph"/>
              <w:numPr>
                <w:ilvl w:val="0"/>
                <w:numId w:val="0"/>
              </w:numPr>
            </w:pPr>
            <w:r>
              <w:t>Postgraduate Taught</w:t>
            </w:r>
          </w:p>
        </w:tc>
      </w:tr>
      <w:tr w:rsidR="00D27C11" w:rsidRPr="00E331BF" w14:paraId="1D9519C2" w14:textId="77777777" w:rsidTr="00D27C11">
        <w:tc>
          <w:tcPr>
            <w:tcW w:w="3982" w:type="dxa"/>
          </w:tcPr>
          <w:p w14:paraId="6673FA0D" w14:textId="6F426ED3" w:rsidR="00D27C11" w:rsidRPr="00F42154" w:rsidRDefault="00D27C11" w:rsidP="00C05B08">
            <w:pPr>
              <w:rPr>
                <w:u w:val="single"/>
                <w:lang w:eastAsia="zh-TW"/>
              </w:rPr>
            </w:pPr>
            <w:r w:rsidRPr="00FC73B8">
              <w:rPr>
                <w:b/>
                <w:bCs/>
                <w:u w:val="single"/>
                <w:lang w:eastAsia="zh-TW"/>
              </w:rPr>
              <w:t>Full Time</w:t>
            </w:r>
            <w:r w:rsidR="009C0DDD">
              <w:rPr>
                <w:b/>
                <w:bCs/>
                <w:u w:val="single"/>
                <w:lang w:eastAsia="zh-TW"/>
              </w:rPr>
              <w:t xml:space="preserve"> and Part Time</w:t>
            </w:r>
            <w:r w:rsidRPr="00FC73B8">
              <w:rPr>
                <w:b/>
                <w:bCs/>
                <w:u w:val="single"/>
                <w:lang w:eastAsia="zh-TW"/>
              </w:rPr>
              <w:t xml:space="preserve"> Home:</w:t>
            </w:r>
          </w:p>
          <w:p w14:paraId="3D4E33BA" w14:textId="24CA5D4B" w:rsidR="00D27C11" w:rsidRDefault="00D27C11" w:rsidP="00D27C11">
            <w:pPr>
              <w:rPr>
                <w:lang w:eastAsia="zh-TW"/>
              </w:rPr>
            </w:pPr>
            <w:r>
              <w:rPr>
                <w:lang w:eastAsia="zh-TW"/>
              </w:rPr>
              <w:t>Before the start of the 2</w:t>
            </w:r>
            <w:r w:rsidRPr="00943B5D">
              <w:rPr>
                <w:vertAlign w:val="superscript"/>
                <w:lang w:eastAsia="zh-TW"/>
              </w:rPr>
              <w:t>nd</w:t>
            </w:r>
            <w:r>
              <w:rPr>
                <w:lang w:eastAsia="zh-TW"/>
              </w:rPr>
              <w:t xml:space="preserve"> Term - 75% of the fees will be refunded </w:t>
            </w:r>
          </w:p>
          <w:p w14:paraId="70E91C9D" w14:textId="2CBAB5AA" w:rsidR="00D27C11" w:rsidRDefault="00D27C11" w:rsidP="00D27C11">
            <w:pPr>
              <w:rPr>
                <w:lang w:eastAsia="zh-TW"/>
              </w:rPr>
            </w:pPr>
            <w:r>
              <w:rPr>
                <w:lang w:eastAsia="zh-TW"/>
              </w:rPr>
              <w:t>Before the start of the 3</w:t>
            </w:r>
            <w:r w:rsidRPr="00943B5D">
              <w:rPr>
                <w:vertAlign w:val="superscript"/>
                <w:lang w:eastAsia="zh-TW"/>
              </w:rPr>
              <w:t>rd</w:t>
            </w:r>
            <w:r>
              <w:rPr>
                <w:lang w:eastAsia="zh-TW"/>
              </w:rPr>
              <w:t xml:space="preserve"> Term – 50% of the fees will be </w:t>
            </w:r>
            <w:r w:rsidR="00F42154">
              <w:rPr>
                <w:lang w:eastAsia="zh-TW"/>
              </w:rPr>
              <w:t>refunded.</w:t>
            </w:r>
          </w:p>
          <w:p w14:paraId="06631091" w14:textId="3AFB488E" w:rsidR="00D27C11" w:rsidRDefault="00D27C11" w:rsidP="00D27C11">
            <w:pPr>
              <w:rPr>
                <w:lang w:eastAsia="zh-TW"/>
              </w:rPr>
            </w:pPr>
            <w:r>
              <w:rPr>
                <w:lang w:eastAsia="zh-TW"/>
              </w:rPr>
              <w:t>On or after the 3</w:t>
            </w:r>
            <w:r w:rsidRPr="00943B5D">
              <w:rPr>
                <w:vertAlign w:val="superscript"/>
                <w:lang w:eastAsia="zh-TW"/>
              </w:rPr>
              <w:t>rd</w:t>
            </w:r>
            <w:r>
              <w:rPr>
                <w:lang w:eastAsia="zh-TW"/>
              </w:rPr>
              <w:t xml:space="preserve"> Term – No refund shall be </w:t>
            </w:r>
            <w:r w:rsidR="00F42154">
              <w:rPr>
                <w:lang w:eastAsia="zh-TW"/>
              </w:rPr>
              <w:t>given.</w:t>
            </w:r>
          </w:p>
          <w:p w14:paraId="551B4680" w14:textId="689D7DDD" w:rsidR="00173D81" w:rsidRDefault="00173D81" w:rsidP="00D27C11">
            <w:pPr>
              <w:rPr>
                <w:lang w:eastAsia="zh-TW"/>
              </w:rPr>
            </w:pPr>
          </w:p>
          <w:p w14:paraId="7CF27E58" w14:textId="799F5C5A" w:rsidR="00173D81" w:rsidRDefault="00173D81" w:rsidP="00D27C11">
            <w:pPr>
              <w:rPr>
                <w:lang w:eastAsia="zh-TW"/>
              </w:rPr>
            </w:pPr>
          </w:p>
          <w:p w14:paraId="08709204" w14:textId="77777777" w:rsidR="00291DE4" w:rsidRDefault="00291DE4" w:rsidP="00C05B08">
            <w:pPr>
              <w:rPr>
                <w:b/>
                <w:bCs/>
                <w:u w:val="single"/>
                <w:lang w:eastAsia="zh-TW"/>
              </w:rPr>
            </w:pPr>
          </w:p>
          <w:p w14:paraId="217F5143" w14:textId="323A7A3F" w:rsidR="00D27C11" w:rsidRPr="00FC73B8" w:rsidRDefault="00D27C11" w:rsidP="00C05B08">
            <w:pPr>
              <w:rPr>
                <w:b/>
                <w:bCs/>
                <w:u w:val="single"/>
                <w:lang w:eastAsia="zh-TW"/>
              </w:rPr>
            </w:pPr>
            <w:r w:rsidRPr="00FC73B8">
              <w:rPr>
                <w:b/>
                <w:bCs/>
                <w:u w:val="single"/>
                <w:lang w:eastAsia="zh-TW"/>
              </w:rPr>
              <w:t>Full Time International:</w:t>
            </w:r>
          </w:p>
          <w:p w14:paraId="73E77C3E" w14:textId="77777777" w:rsidR="00EC350F" w:rsidRDefault="00EC350F" w:rsidP="00EC350F">
            <w:pPr>
              <w:pStyle w:val="ListParagraph"/>
              <w:numPr>
                <w:ilvl w:val="0"/>
                <w:numId w:val="5"/>
              </w:numPr>
              <w:rPr>
                <w:lang w:eastAsia="zh-TW"/>
              </w:rPr>
            </w:pPr>
            <w:r>
              <w:rPr>
                <w:lang w:eastAsia="zh-TW"/>
              </w:rPr>
              <w:t>Student withdrawal/ Interruption</w:t>
            </w:r>
          </w:p>
          <w:p w14:paraId="0DDB9E9E" w14:textId="25A251D2" w:rsidR="00D27C11" w:rsidRDefault="00D27C11" w:rsidP="00D27C11">
            <w:pPr>
              <w:rPr>
                <w:lang w:eastAsia="zh-TW"/>
              </w:rPr>
            </w:pPr>
            <w:r>
              <w:rPr>
                <w:lang w:eastAsia="zh-TW"/>
              </w:rPr>
              <w:t>Before the start of the 2</w:t>
            </w:r>
            <w:r w:rsidRPr="00943B5D">
              <w:rPr>
                <w:vertAlign w:val="superscript"/>
                <w:lang w:eastAsia="zh-TW"/>
              </w:rPr>
              <w:t>nd</w:t>
            </w:r>
            <w:r>
              <w:rPr>
                <w:lang w:eastAsia="zh-TW"/>
              </w:rPr>
              <w:t xml:space="preserve"> Term - 50% of the fees will be refunded </w:t>
            </w:r>
          </w:p>
          <w:p w14:paraId="3D60CE11" w14:textId="11C6BA32" w:rsidR="00D27C11" w:rsidRDefault="00D27C11" w:rsidP="00C05B08">
            <w:pPr>
              <w:rPr>
                <w:lang w:eastAsia="zh-TW"/>
              </w:rPr>
            </w:pPr>
            <w:r>
              <w:rPr>
                <w:lang w:eastAsia="zh-TW"/>
              </w:rPr>
              <w:t>On or after the 2</w:t>
            </w:r>
            <w:r w:rsidRPr="006F235F">
              <w:rPr>
                <w:vertAlign w:val="superscript"/>
                <w:lang w:eastAsia="zh-TW"/>
              </w:rPr>
              <w:t>nd</w:t>
            </w:r>
            <w:r>
              <w:rPr>
                <w:lang w:eastAsia="zh-TW"/>
              </w:rPr>
              <w:t xml:space="preserve"> Term – No refund shall be </w:t>
            </w:r>
            <w:r w:rsidR="00F42154">
              <w:rPr>
                <w:lang w:eastAsia="zh-TW"/>
              </w:rPr>
              <w:t>given.</w:t>
            </w:r>
          </w:p>
          <w:p w14:paraId="2064FC09" w14:textId="77777777" w:rsidR="00EC350F" w:rsidRDefault="00EC350F" w:rsidP="00EC350F">
            <w:pPr>
              <w:pStyle w:val="ListParagraph"/>
              <w:numPr>
                <w:ilvl w:val="0"/>
                <w:numId w:val="5"/>
              </w:numPr>
              <w:rPr>
                <w:lang w:eastAsia="zh-TW"/>
              </w:rPr>
            </w:pPr>
            <w:r>
              <w:rPr>
                <w:lang w:eastAsia="zh-TW"/>
              </w:rPr>
              <w:t xml:space="preserve">Studies terminated by the </w:t>
            </w:r>
          </w:p>
          <w:p w14:paraId="5D25972C" w14:textId="77777777" w:rsidR="00EC350F" w:rsidRDefault="00EC350F" w:rsidP="00EC350F">
            <w:pPr>
              <w:pStyle w:val="ListParagraph"/>
              <w:numPr>
                <w:ilvl w:val="0"/>
                <w:numId w:val="0"/>
              </w:numPr>
              <w:ind w:left="720"/>
              <w:rPr>
                <w:lang w:eastAsia="zh-TW"/>
              </w:rPr>
            </w:pPr>
            <w:r>
              <w:rPr>
                <w:lang w:eastAsia="zh-TW"/>
              </w:rPr>
              <w:t>University</w:t>
            </w:r>
          </w:p>
          <w:p w14:paraId="45CE44A2" w14:textId="737E4144" w:rsidR="00D27C11" w:rsidRDefault="00EC350F" w:rsidP="00EC350F">
            <w:r>
              <w:rPr>
                <w:lang w:eastAsia="zh-TW"/>
              </w:rPr>
              <w:t xml:space="preserve"> No refund shall be </w:t>
            </w:r>
            <w:r w:rsidR="00F42154">
              <w:rPr>
                <w:lang w:eastAsia="zh-TW"/>
              </w:rPr>
              <w:t>given.</w:t>
            </w:r>
          </w:p>
          <w:p w14:paraId="152BC841" w14:textId="77777777" w:rsidR="00D27C11" w:rsidRPr="00E331BF" w:rsidRDefault="00D27C11" w:rsidP="00C05B08"/>
        </w:tc>
        <w:tc>
          <w:tcPr>
            <w:tcW w:w="3948" w:type="dxa"/>
          </w:tcPr>
          <w:p w14:paraId="4BAE3171" w14:textId="77777777" w:rsidR="00D27C11" w:rsidRPr="00FC73B8" w:rsidRDefault="00D27C11" w:rsidP="00C05B08">
            <w:pPr>
              <w:rPr>
                <w:b/>
                <w:bCs/>
                <w:u w:val="single"/>
                <w:lang w:eastAsia="zh-TW"/>
              </w:rPr>
            </w:pPr>
            <w:r w:rsidRPr="00FC73B8">
              <w:rPr>
                <w:b/>
                <w:bCs/>
                <w:u w:val="single"/>
                <w:lang w:eastAsia="zh-TW"/>
              </w:rPr>
              <w:lastRenderedPageBreak/>
              <w:t>Full Time Home:</w:t>
            </w:r>
          </w:p>
          <w:p w14:paraId="7499A965" w14:textId="2EB02CBD" w:rsidR="00D27C11" w:rsidRDefault="00D27C11" w:rsidP="00D27C11">
            <w:pPr>
              <w:rPr>
                <w:lang w:eastAsia="zh-TW"/>
              </w:rPr>
            </w:pPr>
            <w:r>
              <w:rPr>
                <w:lang w:eastAsia="zh-TW"/>
              </w:rPr>
              <w:t>Before the start of the 2</w:t>
            </w:r>
            <w:r w:rsidRPr="00943B5D">
              <w:rPr>
                <w:vertAlign w:val="superscript"/>
                <w:lang w:eastAsia="zh-TW"/>
              </w:rPr>
              <w:t>nd</w:t>
            </w:r>
            <w:r>
              <w:rPr>
                <w:lang w:eastAsia="zh-TW"/>
              </w:rPr>
              <w:t xml:space="preserve"> Term - 75% of the fees will be refunded </w:t>
            </w:r>
          </w:p>
          <w:p w14:paraId="36263637" w14:textId="640DB21A" w:rsidR="00D27C11" w:rsidRDefault="00D27C11" w:rsidP="00D27C11">
            <w:pPr>
              <w:rPr>
                <w:lang w:eastAsia="zh-TW"/>
              </w:rPr>
            </w:pPr>
            <w:r>
              <w:rPr>
                <w:lang w:eastAsia="zh-TW"/>
              </w:rPr>
              <w:t>Before the start of the 3</w:t>
            </w:r>
            <w:r w:rsidRPr="00943B5D">
              <w:rPr>
                <w:vertAlign w:val="superscript"/>
                <w:lang w:eastAsia="zh-TW"/>
              </w:rPr>
              <w:t>rd</w:t>
            </w:r>
            <w:r>
              <w:rPr>
                <w:lang w:eastAsia="zh-TW"/>
              </w:rPr>
              <w:t xml:space="preserve"> Term – 50% of the fees will be </w:t>
            </w:r>
            <w:r w:rsidR="00F42154">
              <w:rPr>
                <w:lang w:eastAsia="zh-TW"/>
              </w:rPr>
              <w:t>refunded.</w:t>
            </w:r>
          </w:p>
          <w:p w14:paraId="5EEADC51" w14:textId="7A3C9119" w:rsidR="00D27C11" w:rsidRDefault="00D27C11" w:rsidP="00D27C11">
            <w:pPr>
              <w:rPr>
                <w:lang w:eastAsia="zh-TW"/>
              </w:rPr>
            </w:pPr>
            <w:r>
              <w:rPr>
                <w:lang w:eastAsia="zh-TW"/>
              </w:rPr>
              <w:t>On or after the 3</w:t>
            </w:r>
            <w:r w:rsidRPr="00943B5D">
              <w:rPr>
                <w:vertAlign w:val="superscript"/>
                <w:lang w:eastAsia="zh-TW"/>
              </w:rPr>
              <w:t>rd</w:t>
            </w:r>
            <w:r>
              <w:rPr>
                <w:lang w:eastAsia="zh-TW"/>
              </w:rPr>
              <w:t xml:space="preserve"> Term – No refund shall be </w:t>
            </w:r>
            <w:r w:rsidR="00F42154">
              <w:rPr>
                <w:lang w:eastAsia="zh-TW"/>
              </w:rPr>
              <w:t>given.</w:t>
            </w:r>
          </w:p>
          <w:p w14:paraId="2A058883" w14:textId="77777777" w:rsidR="00173D81" w:rsidRPr="00FC73B8" w:rsidRDefault="00173D81" w:rsidP="00173D81">
            <w:pPr>
              <w:rPr>
                <w:b/>
                <w:bCs/>
                <w:u w:val="single"/>
              </w:rPr>
            </w:pPr>
            <w:r w:rsidRPr="00FC73B8">
              <w:rPr>
                <w:b/>
                <w:bCs/>
                <w:u w:val="single"/>
              </w:rPr>
              <w:t>Part Time Home:</w:t>
            </w:r>
          </w:p>
          <w:p w14:paraId="6D854FF2" w14:textId="5E48892C" w:rsidR="009C0DDD" w:rsidRDefault="00173D81" w:rsidP="00C05B08">
            <w:pPr>
              <w:rPr>
                <w:b/>
                <w:bCs/>
                <w:u w:val="single"/>
                <w:lang w:eastAsia="zh-TW"/>
              </w:rPr>
            </w:pPr>
            <w:r>
              <w:t>Modules registered but not attended will be refunded</w:t>
            </w:r>
          </w:p>
          <w:p w14:paraId="7312ED3C" w14:textId="2ADFF9F7" w:rsidR="00D27C11" w:rsidRPr="00FC73B8" w:rsidRDefault="00D27C11" w:rsidP="00C05B08">
            <w:pPr>
              <w:rPr>
                <w:b/>
                <w:bCs/>
                <w:u w:val="single"/>
                <w:lang w:eastAsia="zh-TW"/>
              </w:rPr>
            </w:pPr>
            <w:r w:rsidRPr="00FC73B8">
              <w:rPr>
                <w:b/>
                <w:bCs/>
                <w:u w:val="single"/>
                <w:lang w:eastAsia="zh-TW"/>
              </w:rPr>
              <w:t>Full Time International:</w:t>
            </w:r>
          </w:p>
          <w:p w14:paraId="2EC84459" w14:textId="2DF2C992" w:rsidR="00EC350F" w:rsidRDefault="00EC350F" w:rsidP="00F42154">
            <w:pPr>
              <w:pStyle w:val="ListParagraph"/>
              <w:numPr>
                <w:ilvl w:val="0"/>
                <w:numId w:val="5"/>
              </w:numPr>
              <w:rPr>
                <w:lang w:eastAsia="zh-TW"/>
              </w:rPr>
            </w:pPr>
            <w:r>
              <w:rPr>
                <w:lang w:eastAsia="zh-TW"/>
              </w:rPr>
              <w:t>Student withdrawal/ Interruption</w:t>
            </w:r>
          </w:p>
          <w:p w14:paraId="5834D38B" w14:textId="04A0FAF5" w:rsidR="00D27C11" w:rsidRDefault="00D27C11" w:rsidP="00D27C11">
            <w:pPr>
              <w:rPr>
                <w:lang w:eastAsia="zh-TW"/>
              </w:rPr>
            </w:pPr>
            <w:r>
              <w:rPr>
                <w:lang w:eastAsia="zh-TW"/>
              </w:rPr>
              <w:t>Before the start of the 2</w:t>
            </w:r>
            <w:r w:rsidRPr="00943B5D">
              <w:rPr>
                <w:vertAlign w:val="superscript"/>
                <w:lang w:eastAsia="zh-TW"/>
              </w:rPr>
              <w:t>nd</w:t>
            </w:r>
            <w:r>
              <w:rPr>
                <w:lang w:eastAsia="zh-TW"/>
              </w:rPr>
              <w:t xml:space="preserve"> Term - 50% of the fees will be refunded </w:t>
            </w:r>
          </w:p>
          <w:p w14:paraId="19DC0348" w14:textId="0A720F0E" w:rsidR="00D27C11" w:rsidRDefault="00D27C11" w:rsidP="00D27C11">
            <w:pPr>
              <w:rPr>
                <w:lang w:eastAsia="zh-TW"/>
              </w:rPr>
            </w:pPr>
            <w:r>
              <w:rPr>
                <w:lang w:eastAsia="zh-TW"/>
              </w:rPr>
              <w:t>On or after the 2</w:t>
            </w:r>
            <w:r w:rsidRPr="006F235F">
              <w:rPr>
                <w:vertAlign w:val="superscript"/>
                <w:lang w:eastAsia="zh-TW"/>
              </w:rPr>
              <w:t>nd</w:t>
            </w:r>
            <w:r>
              <w:rPr>
                <w:lang w:eastAsia="zh-TW"/>
              </w:rPr>
              <w:t xml:space="preserve"> Term – No refund shall be </w:t>
            </w:r>
            <w:r w:rsidR="00F42154">
              <w:rPr>
                <w:lang w:eastAsia="zh-TW"/>
              </w:rPr>
              <w:t>given.</w:t>
            </w:r>
          </w:p>
          <w:p w14:paraId="655EFC51" w14:textId="77777777" w:rsidR="00EC350F" w:rsidRDefault="00EC350F" w:rsidP="00EC350F">
            <w:pPr>
              <w:pStyle w:val="ListParagraph"/>
              <w:numPr>
                <w:ilvl w:val="0"/>
                <w:numId w:val="5"/>
              </w:numPr>
              <w:rPr>
                <w:lang w:eastAsia="zh-TW"/>
              </w:rPr>
            </w:pPr>
            <w:r>
              <w:rPr>
                <w:lang w:eastAsia="zh-TW"/>
              </w:rPr>
              <w:t xml:space="preserve">Studies terminated by the </w:t>
            </w:r>
          </w:p>
          <w:p w14:paraId="63F77D56" w14:textId="77777777" w:rsidR="00EC350F" w:rsidRDefault="00EC350F" w:rsidP="00EC350F">
            <w:pPr>
              <w:pStyle w:val="ListParagraph"/>
              <w:numPr>
                <w:ilvl w:val="0"/>
                <w:numId w:val="0"/>
              </w:numPr>
              <w:ind w:left="720"/>
              <w:rPr>
                <w:lang w:eastAsia="zh-TW"/>
              </w:rPr>
            </w:pPr>
            <w:r>
              <w:rPr>
                <w:lang w:eastAsia="zh-TW"/>
              </w:rPr>
              <w:t>University</w:t>
            </w:r>
          </w:p>
          <w:p w14:paraId="73F8745D" w14:textId="47CF6480" w:rsidR="00D27C11" w:rsidRPr="00E331BF" w:rsidRDefault="00EC350F" w:rsidP="00173D81">
            <w:r>
              <w:rPr>
                <w:lang w:eastAsia="zh-TW"/>
              </w:rPr>
              <w:t xml:space="preserve"> No refund shall be given</w:t>
            </w:r>
            <w:r w:rsidR="00F42154">
              <w:rPr>
                <w:lang w:eastAsia="zh-TW"/>
              </w:rPr>
              <w:br/>
            </w:r>
          </w:p>
        </w:tc>
      </w:tr>
    </w:tbl>
    <w:p w14:paraId="10467D89" w14:textId="77777777" w:rsidR="00D27C11" w:rsidRPr="00D27C11" w:rsidRDefault="00D27C11" w:rsidP="00D27C11">
      <w:pPr>
        <w:pStyle w:val="ListParagraph"/>
        <w:numPr>
          <w:ilvl w:val="0"/>
          <w:numId w:val="0"/>
        </w:numPr>
        <w:ind w:left="1080"/>
      </w:pPr>
    </w:p>
    <w:p w14:paraId="4B983A3F" w14:textId="6CE88269" w:rsidR="004A24A6" w:rsidRDefault="00D27C11" w:rsidP="00EC3258">
      <w:pPr>
        <w:pStyle w:val="ListParagraph"/>
        <w:numPr>
          <w:ilvl w:val="1"/>
          <w:numId w:val="3"/>
        </w:numPr>
      </w:pPr>
      <w:r w:rsidRPr="00D27C11">
        <w:t>In respect of postgraduate research students</w:t>
      </w:r>
      <w:r w:rsidR="00F42154">
        <w:t>,</w:t>
      </w:r>
      <w:r w:rsidRPr="00D27C11">
        <w:t xml:space="preserve"> refunds will be calculated pro rata based on a 12 month year from the scheduled start of the relevant academic year (that is 100% of the fees will be retained and no refund given 12 months after the scheduled start of the relevant academic year). </w:t>
      </w:r>
    </w:p>
    <w:p w14:paraId="461C7CF0" w14:textId="77777777" w:rsidR="00B91781" w:rsidRDefault="00B91781" w:rsidP="00EC3258">
      <w:pPr>
        <w:pStyle w:val="ListParagraph"/>
        <w:numPr>
          <w:ilvl w:val="0"/>
          <w:numId w:val="0"/>
        </w:numPr>
        <w:ind w:left="1080"/>
      </w:pPr>
    </w:p>
    <w:p w14:paraId="1CD700F9" w14:textId="1E588CC1" w:rsidR="00B91781" w:rsidRDefault="00B91781" w:rsidP="00EC3258">
      <w:pPr>
        <w:pStyle w:val="ListParagraph"/>
        <w:numPr>
          <w:ilvl w:val="1"/>
          <w:numId w:val="3"/>
        </w:numPr>
      </w:pPr>
      <w:r w:rsidRPr="00FC029C">
        <w:t xml:space="preserve">In respect of students </w:t>
      </w:r>
      <w:r>
        <w:t>who have provided fraudulent documentation or misrepresentation of evidence to be admitted on course resulting in withdrawal of Admissions or termination of Enrolment</w:t>
      </w:r>
      <w:r w:rsidRPr="00FC029C">
        <w:t xml:space="preserve">, subject to regulation </w:t>
      </w:r>
      <w:r w:rsidRPr="00FC029C">
        <w:rPr>
          <w:cs/>
        </w:rPr>
        <w:t>‎</w:t>
      </w:r>
      <w:r w:rsidRPr="00FC029C">
        <w:t>4.1, no refunds shall be given.</w:t>
      </w:r>
    </w:p>
    <w:p w14:paraId="483B9F60" w14:textId="77777777" w:rsidR="005A799B" w:rsidRPr="00020D8E" w:rsidRDefault="005A799B" w:rsidP="00EC3258">
      <w:pPr>
        <w:pStyle w:val="ListParagraph"/>
        <w:numPr>
          <w:ilvl w:val="0"/>
          <w:numId w:val="0"/>
        </w:numPr>
        <w:spacing w:before="100" w:beforeAutospacing="1" w:after="100" w:afterAutospacing="1"/>
        <w:ind w:left="1080"/>
        <w:rPr>
          <w:color w:val="000000"/>
        </w:rPr>
      </w:pPr>
    </w:p>
    <w:p w14:paraId="2ECC78AD" w14:textId="715E42F5" w:rsidR="00723FAA" w:rsidRPr="00020D8E" w:rsidRDefault="00D27C11" w:rsidP="00EC3258">
      <w:pPr>
        <w:pStyle w:val="ListParagraph"/>
        <w:numPr>
          <w:ilvl w:val="1"/>
          <w:numId w:val="3"/>
        </w:numPr>
        <w:spacing w:before="100" w:beforeAutospacing="1" w:after="100" w:afterAutospacing="1"/>
        <w:rPr>
          <w:color w:val="000000"/>
        </w:rPr>
      </w:pPr>
      <w:r w:rsidRPr="00D27C11">
        <w:t xml:space="preserve">In respect of international students </w:t>
      </w:r>
    </w:p>
    <w:p w14:paraId="753E479B" w14:textId="77777777" w:rsidR="00723FAA" w:rsidRDefault="00723FAA" w:rsidP="00EC3258">
      <w:pPr>
        <w:pStyle w:val="ListParagraph"/>
        <w:numPr>
          <w:ilvl w:val="0"/>
          <w:numId w:val="0"/>
        </w:numPr>
        <w:ind w:left="284"/>
      </w:pPr>
    </w:p>
    <w:p w14:paraId="6E3D578F" w14:textId="7C60C03E" w:rsidR="00723FAA" w:rsidRPr="00020D8E" w:rsidRDefault="00723FAA" w:rsidP="00EC3258">
      <w:pPr>
        <w:pStyle w:val="ListParagraph"/>
        <w:numPr>
          <w:ilvl w:val="2"/>
          <w:numId w:val="3"/>
        </w:numPr>
        <w:spacing w:before="100" w:beforeAutospacing="1" w:after="100" w:afterAutospacing="1"/>
        <w:rPr>
          <w:color w:val="000000"/>
        </w:rPr>
      </w:pPr>
      <w:r>
        <w:t>R</w:t>
      </w:r>
      <w:r w:rsidR="00D27C11" w:rsidRPr="00D27C11">
        <w:t>efunds</w:t>
      </w:r>
      <w:r>
        <w:t xml:space="preserve"> </w:t>
      </w:r>
      <w:r w:rsidRPr="00020D8E">
        <w:rPr>
          <w:color w:val="000000"/>
        </w:rPr>
        <w:t>of deposits will be considered under the following circumstances:</w:t>
      </w:r>
    </w:p>
    <w:p w14:paraId="4254F239" w14:textId="32DACC88" w:rsidR="00723FAA" w:rsidRPr="00B60866" w:rsidRDefault="00B60866" w:rsidP="00EC3258">
      <w:pPr>
        <w:widowControl/>
        <w:suppressAutoHyphens w:val="0"/>
        <w:spacing w:before="100" w:beforeAutospacing="1" w:after="100" w:afterAutospacing="1"/>
        <w:ind w:left="720"/>
        <w:rPr>
          <w:color w:val="000000"/>
        </w:rPr>
      </w:pPr>
      <w:r>
        <w:rPr>
          <w:color w:val="000000"/>
        </w:rPr>
        <w:t>4.</w:t>
      </w:r>
      <w:r w:rsidR="008A3CA0">
        <w:rPr>
          <w:color w:val="000000"/>
        </w:rPr>
        <w:t>6</w:t>
      </w:r>
      <w:r>
        <w:rPr>
          <w:color w:val="000000"/>
        </w:rPr>
        <w:t xml:space="preserve">.1.1. </w:t>
      </w:r>
      <w:r w:rsidR="00723FAA" w:rsidRPr="00020D8E">
        <w:rPr>
          <w:color w:val="000000"/>
        </w:rPr>
        <w:t>Visa Refusal</w:t>
      </w:r>
    </w:p>
    <w:p w14:paraId="4FDD567D" w14:textId="77777777" w:rsidR="00723FAA" w:rsidRPr="00083DAF" w:rsidRDefault="00723FAA" w:rsidP="00EC3258">
      <w:pPr>
        <w:widowControl/>
        <w:numPr>
          <w:ilvl w:val="1"/>
          <w:numId w:val="6"/>
        </w:numPr>
        <w:suppressAutoHyphens w:val="0"/>
        <w:spacing w:before="100" w:beforeAutospacing="1" w:after="100" w:afterAutospacing="1"/>
        <w:rPr>
          <w:color w:val="000000"/>
        </w:rPr>
      </w:pPr>
      <w:r w:rsidRPr="00083DAF">
        <w:rPr>
          <w:color w:val="000000"/>
        </w:rPr>
        <w:t>Full refunds will be issued for visa refusals, provided:</w:t>
      </w:r>
    </w:p>
    <w:p w14:paraId="794BD4D2" w14:textId="77777777" w:rsidR="00723FAA" w:rsidRPr="00083DAF" w:rsidRDefault="00723FAA" w:rsidP="00EC3258">
      <w:pPr>
        <w:widowControl/>
        <w:numPr>
          <w:ilvl w:val="2"/>
          <w:numId w:val="6"/>
        </w:numPr>
        <w:suppressAutoHyphens w:val="0"/>
        <w:spacing w:before="100" w:beforeAutospacing="1" w:after="100" w:afterAutospacing="1"/>
        <w:rPr>
          <w:color w:val="000000"/>
        </w:rPr>
      </w:pPr>
      <w:r w:rsidRPr="00083DAF">
        <w:rPr>
          <w:color w:val="000000"/>
        </w:rPr>
        <w:t>The refusal does not fall under the non-refundable circumstances below.</w:t>
      </w:r>
    </w:p>
    <w:p w14:paraId="6D306D34" w14:textId="77777777" w:rsidR="00723FAA" w:rsidRPr="00083DAF" w:rsidRDefault="00723FAA" w:rsidP="00EC3258">
      <w:pPr>
        <w:widowControl/>
        <w:numPr>
          <w:ilvl w:val="2"/>
          <w:numId w:val="6"/>
        </w:numPr>
        <w:suppressAutoHyphens w:val="0"/>
        <w:spacing w:before="100" w:beforeAutospacing="1" w:after="100" w:afterAutospacing="1"/>
        <w:rPr>
          <w:color w:val="000000"/>
        </w:rPr>
      </w:pPr>
      <w:r w:rsidRPr="00083DAF">
        <w:rPr>
          <w:color w:val="000000"/>
        </w:rPr>
        <w:t>The applicant submits evidence from the UKVI, including refusal documentation within 4 weeks of receiving the visa refusal.</w:t>
      </w:r>
    </w:p>
    <w:p w14:paraId="75DA59E6" w14:textId="77777777" w:rsidR="00723FAA" w:rsidRPr="00083DAF" w:rsidRDefault="00723FAA" w:rsidP="00EC3258">
      <w:pPr>
        <w:widowControl/>
        <w:numPr>
          <w:ilvl w:val="2"/>
          <w:numId w:val="6"/>
        </w:numPr>
        <w:suppressAutoHyphens w:val="0"/>
        <w:spacing w:before="100" w:beforeAutospacing="1" w:after="100" w:afterAutospacing="1"/>
        <w:rPr>
          <w:color w:val="000000"/>
        </w:rPr>
      </w:pPr>
      <w:r w:rsidRPr="00083DAF">
        <w:rPr>
          <w:color w:val="000000"/>
        </w:rPr>
        <w:t>The applicant follows London Met’s guidance regarding the visa process.</w:t>
      </w:r>
    </w:p>
    <w:p w14:paraId="54B7D00E" w14:textId="46B2DF1B" w:rsidR="00723FAA" w:rsidRPr="00B60866" w:rsidRDefault="00B60866" w:rsidP="00EC3258">
      <w:pPr>
        <w:widowControl/>
        <w:suppressAutoHyphens w:val="0"/>
        <w:spacing w:before="100" w:beforeAutospacing="1" w:after="100" w:afterAutospacing="1"/>
        <w:ind w:left="720"/>
        <w:rPr>
          <w:color w:val="000000"/>
        </w:rPr>
      </w:pPr>
      <w:r>
        <w:rPr>
          <w:color w:val="000000"/>
        </w:rPr>
        <w:t>4.</w:t>
      </w:r>
      <w:r w:rsidR="008A3CA0">
        <w:rPr>
          <w:color w:val="000000"/>
        </w:rPr>
        <w:t>6</w:t>
      </w:r>
      <w:r>
        <w:rPr>
          <w:color w:val="000000"/>
        </w:rPr>
        <w:t xml:space="preserve">.1.2. </w:t>
      </w:r>
      <w:r w:rsidR="00723FAA" w:rsidRPr="00020D8E">
        <w:rPr>
          <w:color w:val="000000"/>
        </w:rPr>
        <w:t>Withdrawal Before CAS Issuance</w:t>
      </w:r>
    </w:p>
    <w:p w14:paraId="2AB57A89" w14:textId="77777777" w:rsidR="00723FAA" w:rsidRPr="00083DAF" w:rsidRDefault="00723FAA" w:rsidP="00EC3258">
      <w:pPr>
        <w:widowControl/>
        <w:numPr>
          <w:ilvl w:val="1"/>
          <w:numId w:val="6"/>
        </w:numPr>
        <w:suppressAutoHyphens w:val="0"/>
        <w:spacing w:before="100" w:beforeAutospacing="1" w:after="100" w:afterAutospacing="1"/>
        <w:rPr>
          <w:color w:val="000000"/>
        </w:rPr>
      </w:pPr>
      <w:r w:rsidRPr="00083DAF">
        <w:rPr>
          <w:color w:val="000000"/>
        </w:rPr>
        <w:t>Applicants who withdraw their application prior to receiving a CAS are eligible for a full refund.</w:t>
      </w:r>
    </w:p>
    <w:p w14:paraId="0F2A9E42" w14:textId="7623550D" w:rsidR="00723FAA" w:rsidRPr="00B60866" w:rsidRDefault="00B60866" w:rsidP="00EC3258">
      <w:pPr>
        <w:widowControl/>
        <w:suppressAutoHyphens w:val="0"/>
        <w:spacing w:before="100" w:beforeAutospacing="1" w:after="100" w:afterAutospacing="1"/>
        <w:ind w:left="720"/>
        <w:rPr>
          <w:color w:val="000000"/>
        </w:rPr>
      </w:pPr>
      <w:r>
        <w:rPr>
          <w:color w:val="000000"/>
        </w:rPr>
        <w:t>4.</w:t>
      </w:r>
      <w:r w:rsidR="008A3CA0">
        <w:rPr>
          <w:color w:val="000000"/>
        </w:rPr>
        <w:t>6</w:t>
      </w:r>
      <w:r>
        <w:rPr>
          <w:color w:val="000000"/>
        </w:rPr>
        <w:t xml:space="preserve">.1.3. </w:t>
      </w:r>
      <w:r w:rsidR="00723FAA" w:rsidRPr="00020D8E">
        <w:rPr>
          <w:color w:val="000000"/>
        </w:rPr>
        <w:t>Travel Restrictions or Other Uncontrollable Circumstances</w:t>
      </w:r>
    </w:p>
    <w:p w14:paraId="7AF9A211" w14:textId="4D919791" w:rsidR="00B60866" w:rsidRPr="00B60866" w:rsidRDefault="00723FAA" w:rsidP="00EC3258">
      <w:pPr>
        <w:widowControl/>
        <w:numPr>
          <w:ilvl w:val="1"/>
          <w:numId w:val="6"/>
        </w:numPr>
        <w:suppressAutoHyphens w:val="0"/>
        <w:spacing w:before="100" w:beforeAutospacing="1" w:after="100" w:afterAutospacing="1"/>
        <w:rPr>
          <w:color w:val="000000"/>
        </w:rPr>
      </w:pPr>
      <w:r w:rsidRPr="00083DAF">
        <w:rPr>
          <w:color w:val="000000"/>
        </w:rPr>
        <w:lastRenderedPageBreak/>
        <w:t>If external circumstances prevent an applicant from travelling to the UK, such as international travel restrictions, a refund may be issued upon review.</w:t>
      </w:r>
    </w:p>
    <w:p w14:paraId="2BF353DC" w14:textId="6829C8C4" w:rsidR="00723FAA" w:rsidRPr="00020D8E" w:rsidRDefault="00723FAA" w:rsidP="00EC3258">
      <w:pPr>
        <w:pStyle w:val="ListParagraph"/>
        <w:numPr>
          <w:ilvl w:val="2"/>
          <w:numId w:val="3"/>
        </w:numPr>
        <w:spacing w:before="100" w:beforeAutospacing="1" w:after="100" w:afterAutospacing="1"/>
        <w:rPr>
          <w:color w:val="000000"/>
        </w:rPr>
      </w:pPr>
      <w:r w:rsidRPr="00020D8E">
        <w:rPr>
          <w:color w:val="000000"/>
        </w:rPr>
        <w:t>Refunds of the deposit</w:t>
      </w:r>
      <w:r w:rsidRPr="00020D8E">
        <w:rPr>
          <w:i/>
          <w:iCs/>
          <w:color w:val="000000"/>
        </w:rPr>
        <w:t xml:space="preserve"> </w:t>
      </w:r>
      <w:r w:rsidRPr="00020D8E">
        <w:rPr>
          <w:color w:val="000000"/>
        </w:rPr>
        <w:t xml:space="preserve">will NOT be issued under the following </w:t>
      </w:r>
      <w:r w:rsidR="00B60866">
        <w:rPr>
          <w:color w:val="000000"/>
        </w:rPr>
        <w:t>circumstances</w:t>
      </w:r>
      <w:r w:rsidRPr="00020D8E">
        <w:rPr>
          <w:color w:val="000000"/>
        </w:rPr>
        <w:t>:</w:t>
      </w:r>
    </w:p>
    <w:p w14:paraId="30E4F0E5" w14:textId="6B420DA9" w:rsidR="00723FAA" w:rsidRPr="00020D8E" w:rsidRDefault="00723FAA" w:rsidP="00EC3258">
      <w:pPr>
        <w:pStyle w:val="ListParagraph"/>
        <w:widowControl/>
        <w:numPr>
          <w:ilvl w:val="3"/>
          <w:numId w:val="3"/>
        </w:numPr>
        <w:suppressAutoHyphens w:val="0"/>
        <w:spacing w:before="100" w:beforeAutospacing="1" w:after="100" w:afterAutospacing="1"/>
        <w:rPr>
          <w:color w:val="000000"/>
        </w:rPr>
      </w:pPr>
      <w:r w:rsidRPr="00020D8E">
        <w:rPr>
          <w:color w:val="000000"/>
        </w:rPr>
        <w:t>A visa is refused due to fraudulent documentation, misrepresentation, or nondisclosure of prior refusals.</w:t>
      </w:r>
    </w:p>
    <w:p w14:paraId="59FA5017" w14:textId="1C902EDF" w:rsidR="00723FAA" w:rsidRPr="00020D8E" w:rsidRDefault="00723FAA" w:rsidP="00EC3258">
      <w:pPr>
        <w:pStyle w:val="ListParagraph"/>
        <w:widowControl/>
        <w:numPr>
          <w:ilvl w:val="3"/>
          <w:numId w:val="3"/>
        </w:numPr>
        <w:suppressAutoHyphens w:val="0"/>
        <w:spacing w:before="100" w:beforeAutospacing="1" w:after="100" w:afterAutospacing="1"/>
        <w:rPr>
          <w:color w:val="000000"/>
        </w:rPr>
      </w:pPr>
      <w:r w:rsidRPr="00020D8E">
        <w:rPr>
          <w:color w:val="000000"/>
        </w:rPr>
        <w:t>A visa is approved, but the applicant does not travel to the UK or enrol in their programme for the reasons within their control.</w:t>
      </w:r>
    </w:p>
    <w:p w14:paraId="72DF6675" w14:textId="1DF6BEF2" w:rsidR="00723FAA" w:rsidRPr="00020D8E" w:rsidRDefault="00723FAA" w:rsidP="00EC3258">
      <w:pPr>
        <w:pStyle w:val="ListParagraph"/>
        <w:widowControl/>
        <w:numPr>
          <w:ilvl w:val="3"/>
          <w:numId w:val="3"/>
        </w:numPr>
        <w:suppressAutoHyphens w:val="0"/>
        <w:spacing w:before="100" w:beforeAutospacing="1" w:after="100" w:afterAutospacing="1"/>
        <w:rPr>
          <w:color w:val="000000"/>
        </w:rPr>
      </w:pPr>
      <w:r w:rsidRPr="00020D8E">
        <w:rPr>
          <w:color w:val="000000"/>
        </w:rPr>
        <w:t>The applicant has used the CAS to obtain a visa but decides not to enrol.</w:t>
      </w:r>
    </w:p>
    <w:p w14:paraId="7F6A8A1D" w14:textId="0C610CA6" w:rsidR="00723FAA" w:rsidRPr="00020D8E" w:rsidRDefault="00723FAA" w:rsidP="00EC3258">
      <w:pPr>
        <w:pStyle w:val="ListParagraph"/>
        <w:widowControl/>
        <w:numPr>
          <w:ilvl w:val="3"/>
          <w:numId w:val="3"/>
        </w:numPr>
        <w:suppressAutoHyphens w:val="0"/>
        <w:spacing w:before="100" w:beforeAutospacing="1" w:after="100" w:afterAutospacing="1"/>
        <w:rPr>
          <w:color w:val="000000"/>
        </w:rPr>
      </w:pPr>
      <w:r w:rsidRPr="00020D8E">
        <w:rPr>
          <w:color w:val="000000"/>
        </w:rPr>
        <w:t>Enrolment has commenced, whether online or in-person, and the applicant subsequently withdraws.</w:t>
      </w:r>
    </w:p>
    <w:p w14:paraId="5B418438" w14:textId="77777777" w:rsidR="00B60866" w:rsidRDefault="00B60866" w:rsidP="00EC3258">
      <w:pPr>
        <w:pStyle w:val="ListParagraph"/>
        <w:numPr>
          <w:ilvl w:val="0"/>
          <w:numId w:val="0"/>
        </w:numPr>
        <w:spacing w:before="100" w:beforeAutospacing="1" w:after="100" w:afterAutospacing="1"/>
        <w:ind w:left="1080"/>
        <w:rPr>
          <w:color w:val="000000"/>
        </w:rPr>
      </w:pPr>
    </w:p>
    <w:p w14:paraId="6A21312F" w14:textId="4AE6DF5E" w:rsidR="00B60866" w:rsidRPr="00020D8E" w:rsidRDefault="009B4704" w:rsidP="00EC3258">
      <w:pPr>
        <w:pStyle w:val="ListParagraph"/>
        <w:numPr>
          <w:ilvl w:val="2"/>
          <w:numId w:val="3"/>
        </w:numPr>
        <w:spacing w:before="100" w:beforeAutospacing="1" w:after="100" w:afterAutospacing="1"/>
        <w:rPr>
          <w:color w:val="000000"/>
        </w:rPr>
      </w:pPr>
      <w:r>
        <w:rPr>
          <w:color w:val="000000"/>
        </w:rPr>
        <w:t xml:space="preserve">     </w:t>
      </w:r>
      <w:r w:rsidR="00B60866" w:rsidRPr="00020D8E">
        <w:rPr>
          <w:color w:val="000000"/>
        </w:rPr>
        <w:t>Appeals and Discretionary Cases</w:t>
      </w:r>
    </w:p>
    <w:p w14:paraId="1668C805" w14:textId="3D3C115E" w:rsidR="00B60866" w:rsidRPr="00020D8E" w:rsidRDefault="00B60866" w:rsidP="00EC3258">
      <w:pPr>
        <w:pStyle w:val="ListParagraph"/>
        <w:widowControl/>
        <w:numPr>
          <w:ilvl w:val="3"/>
          <w:numId w:val="3"/>
        </w:numPr>
        <w:suppressAutoHyphens w:val="0"/>
        <w:spacing w:before="100" w:beforeAutospacing="1" w:after="100" w:afterAutospacing="1"/>
        <w:rPr>
          <w:color w:val="000000"/>
        </w:rPr>
      </w:pPr>
      <w:r w:rsidRPr="00020D8E">
        <w:rPr>
          <w:color w:val="000000"/>
        </w:rPr>
        <w:t>Appeals for refunds due to extenuating circumstances will be reviewed individually by a designated panel.</w:t>
      </w:r>
    </w:p>
    <w:p w14:paraId="737CD3BA" w14:textId="4831679E" w:rsidR="00723FAA" w:rsidRPr="00745D42" w:rsidRDefault="00B60866" w:rsidP="00EC3258">
      <w:pPr>
        <w:pStyle w:val="ListParagraph"/>
        <w:widowControl/>
        <w:numPr>
          <w:ilvl w:val="3"/>
          <w:numId w:val="3"/>
        </w:numPr>
        <w:suppressAutoHyphens w:val="0"/>
        <w:spacing w:before="100" w:beforeAutospacing="1" w:after="100" w:afterAutospacing="1"/>
        <w:rPr>
          <w:color w:val="000000"/>
        </w:rPr>
      </w:pPr>
      <w:r w:rsidRPr="00020D8E">
        <w:rPr>
          <w:color w:val="000000"/>
        </w:rPr>
        <w:t>London Met reserves the right to amend the refund policy without prior notice.</w:t>
      </w:r>
    </w:p>
    <w:p w14:paraId="72A3A604" w14:textId="4C3D2ECA" w:rsidR="00FC029C" w:rsidRDefault="00FC029C" w:rsidP="00EC3258">
      <w:pPr>
        <w:ind w:left="360"/>
      </w:pPr>
    </w:p>
    <w:p w14:paraId="4658AF5C" w14:textId="77777777" w:rsidR="00FC029C" w:rsidRPr="00FC029C" w:rsidRDefault="00FC029C" w:rsidP="00FC029C">
      <w:pPr>
        <w:pStyle w:val="ListParagraph"/>
        <w:numPr>
          <w:ilvl w:val="1"/>
          <w:numId w:val="3"/>
        </w:numPr>
      </w:pPr>
      <w:r w:rsidRPr="00FC029C">
        <w:t xml:space="preserve">In respect of students on distance learning or short courses, subject to regulation </w:t>
      </w:r>
      <w:r w:rsidRPr="00FC029C">
        <w:rPr>
          <w:cs/>
        </w:rPr>
        <w:t>‎</w:t>
      </w:r>
      <w:r w:rsidRPr="00FC029C">
        <w:t xml:space="preserve">4.1, no refunds shall be given. </w:t>
      </w:r>
    </w:p>
    <w:p w14:paraId="65C9A6E8" w14:textId="77777777" w:rsidR="00FC029C" w:rsidRPr="00FC029C" w:rsidRDefault="00FC029C" w:rsidP="00FC029C">
      <w:pPr>
        <w:pStyle w:val="ListParagraph"/>
        <w:numPr>
          <w:ilvl w:val="1"/>
          <w:numId w:val="3"/>
        </w:numPr>
      </w:pPr>
      <w:r w:rsidRPr="00FC029C">
        <w:t>Refunds will only be made to the bank account or credit card from which they were paid to the University.</w:t>
      </w:r>
    </w:p>
    <w:p w14:paraId="6238E3D5" w14:textId="6BC0C7A7" w:rsidR="00FC029C" w:rsidRPr="00D27C11" w:rsidRDefault="00FC029C" w:rsidP="003E29DE">
      <w:pPr>
        <w:pStyle w:val="ListParagraph"/>
        <w:numPr>
          <w:ilvl w:val="1"/>
          <w:numId w:val="3"/>
        </w:numPr>
      </w:pPr>
      <w:r w:rsidRPr="00FC029C">
        <w:t xml:space="preserve">Repayment of any scholarship, grant, fee discount or fee reduction that is repayable (whether wholly or in part) on withdrawal or other termination of a student’s studies will be deducted from the amount of any refund. </w:t>
      </w:r>
    </w:p>
    <w:p w14:paraId="5FA4B495" w14:textId="51F82AC8" w:rsidR="00FC029C" w:rsidRDefault="00FC029C" w:rsidP="00FC029C">
      <w:pPr>
        <w:pStyle w:val="Heading1"/>
        <w:numPr>
          <w:ilvl w:val="0"/>
          <w:numId w:val="3"/>
        </w:numPr>
      </w:pPr>
      <w:bookmarkStart w:id="6" w:name="_Toc111027966"/>
      <w:r>
        <w:t>Failure to pay</w:t>
      </w:r>
      <w:bookmarkEnd w:id="6"/>
    </w:p>
    <w:p w14:paraId="0CEF496B" w14:textId="77777777" w:rsidR="00FC029C" w:rsidRPr="00FC029C" w:rsidRDefault="00FC029C" w:rsidP="00FC029C">
      <w:pPr>
        <w:pStyle w:val="ListParagraph"/>
        <w:numPr>
          <w:ilvl w:val="1"/>
          <w:numId w:val="3"/>
        </w:numPr>
      </w:pPr>
      <w:r w:rsidRPr="00FC029C">
        <w:t>If a student does not pay their fees or defaults on an arrangement for payment of the Fees that they have made with the University, the University may:</w:t>
      </w:r>
    </w:p>
    <w:p w14:paraId="034F024B" w14:textId="77777777" w:rsidR="00FC029C" w:rsidRPr="00FC029C" w:rsidRDefault="00FC029C" w:rsidP="00FC029C">
      <w:pPr>
        <w:pStyle w:val="ListParagraph"/>
        <w:numPr>
          <w:ilvl w:val="2"/>
          <w:numId w:val="3"/>
        </w:numPr>
      </w:pPr>
      <w:r w:rsidRPr="00FC029C">
        <w:lastRenderedPageBreak/>
        <w:t>Financially suspend the student from their course of study (suspension means that the student will not be allowed to access the University’s buildings or IT systems, they will not receive the marks awarded for any assessments and will not receive any award). The University will permit access to allow the student to pay their fees. The student may request permission to attend to sit exams or submit coursework by post, but this will usually only be given for students who are enrolled for the current academic year. Even if permission to sit exams or submit coursework is given, no marks will be given while the suspension remains in place;</w:t>
      </w:r>
    </w:p>
    <w:p w14:paraId="737F1257" w14:textId="77777777" w:rsidR="003E29DE" w:rsidRPr="003E29DE" w:rsidRDefault="003E29DE" w:rsidP="003E29DE">
      <w:pPr>
        <w:pStyle w:val="ListParagraph"/>
        <w:numPr>
          <w:ilvl w:val="2"/>
          <w:numId w:val="3"/>
        </w:numPr>
      </w:pPr>
      <w:r w:rsidRPr="003E29DE">
        <w:t>terminate the student’s registration as a student;</w:t>
      </w:r>
    </w:p>
    <w:p w14:paraId="23E03FDB" w14:textId="77777777" w:rsidR="003E29DE" w:rsidRPr="003E29DE" w:rsidRDefault="003E29DE" w:rsidP="003E29DE">
      <w:pPr>
        <w:pStyle w:val="ListParagraph"/>
        <w:numPr>
          <w:ilvl w:val="2"/>
          <w:numId w:val="3"/>
        </w:numPr>
      </w:pPr>
      <w:r w:rsidRPr="003E29DE">
        <w:t>may take legal action for the recovery of outstanding fees, legal costs (including court fees and solicitors and advocates fees), administration fees and interest from the date the Fees were incurred (pursuant to section 69 of the County Court Act 1984 or similar provisions in UK or foreign legislation) whether or not the student is currently registered as a student of the University. The University may also take such action in the student’s home jurisdiction (if applicable);</w:t>
      </w:r>
    </w:p>
    <w:p w14:paraId="3B01A243" w14:textId="77777777" w:rsidR="003E29DE" w:rsidRPr="003E29DE" w:rsidRDefault="003E29DE" w:rsidP="003E29DE">
      <w:pPr>
        <w:pStyle w:val="ListParagraph"/>
        <w:numPr>
          <w:ilvl w:val="2"/>
          <w:numId w:val="3"/>
        </w:numPr>
      </w:pPr>
      <w:r w:rsidRPr="003E29DE">
        <w:t>cancel marks gained whilst the student is suspended for tuition fee debt;</w:t>
      </w:r>
    </w:p>
    <w:p w14:paraId="485D0ED1" w14:textId="77777777" w:rsidR="003E29DE" w:rsidRPr="003E29DE" w:rsidRDefault="003E29DE" w:rsidP="003E29DE">
      <w:pPr>
        <w:pStyle w:val="ListParagraph"/>
        <w:numPr>
          <w:ilvl w:val="2"/>
          <w:numId w:val="3"/>
        </w:numPr>
      </w:pPr>
      <w:r w:rsidRPr="003E29DE">
        <w:t>refuse to confer an award or may not confirm the conferment of an award by issuing a certificate (for the avoidance of doubt issuing a certificate is not proof that no fees remain payable);</w:t>
      </w:r>
    </w:p>
    <w:p w14:paraId="32FDAD3E" w14:textId="77777777" w:rsidR="003E29DE" w:rsidRPr="003E29DE" w:rsidRDefault="003E29DE" w:rsidP="003E29DE">
      <w:pPr>
        <w:pStyle w:val="ListParagraph"/>
        <w:numPr>
          <w:ilvl w:val="2"/>
          <w:numId w:val="3"/>
        </w:numPr>
      </w:pPr>
      <w:r w:rsidRPr="003E29DE">
        <w:t>withhold or withdraw any invitation to or participation in in a graduation ceremony;</w:t>
      </w:r>
    </w:p>
    <w:p w14:paraId="3F170003" w14:textId="10550E9F" w:rsidR="00A003F7" w:rsidRDefault="003E29DE" w:rsidP="00A003F7">
      <w:pPr>
        <w:pStyle w:val="ListParagraph"/>
        <w:numPr>
          <w:ilvl w:val="2"/>
          <w:numId w:val="3"/>
        </w:numPr>
      </w:pPr>
      <w:r w:rsidRPr="003E29DE">
        <w:t>not permit the student to re-enrol or to enrol on a new programme of study until the debt is paid is full (for the avoidance of doubt permitting re-enrolment or enrolment on another course is not proof that no fees remain payable).</w:t>
      </w:r>
    </w:p>
    <w:p w14:paraId="6CF8A2A9" w14:textId="53C97538" w:rsidR="00A003F7" w:rsidRPr="003E29DE" w:rsidRDefault="00A003F7" w:rsidP="00A003F7">
      <w:pPr>
        <w:pStyle w:val="ListParagraph"/>
        <w:numPr>
          <w:ilvl w:val="2"/>
          <w:numId w:val="3"/>
        </w:numPr>
      </w:pPr>
      <w:r>
        <w:t>For Student visa holders, financial suspension may result in withdrawal of visa sponsorship and therefore termination of studies. If a Student visa holder is at the end of their course, the University will not confirm successful completion of the course to UKVI for subsequent immigration applications.</w:t>
      </w:r>
    </w:p>
    <w:p w14:paraId="00360347" w14:textId="77777777" w:rsidR="003E29DE" w:rsidRPr="003E29DE" w:rsidRDefault="003E29DE" w:rsidP="003E29DE">
      <w:pPr>
        <w:pStyle w:val="ListParagraph"/>
        <w:numPr>
          <w:ilvl w:val="1"/>
          <w:numId w:val="3"/>
        </w:numPr>
      </w:pPr>
      <w:r w:rsidRPr="003E29DE">
        <w:t xml:space="preserve">Notwithstanding any action taken under regulation 5.1, any outstanding fees remain due for payment. </w:t>
      </w:r>
    </w:p>
    <w:p w14:paraId="21166E88" w14:textId="77777777" w:rsidR="00050919" w:rsidRDefault="00050919" w:rsidP="003E29DE">
      <w:pPr>
        <w:pStyle w:val="ListParagraph"/>
        <w:numPr>
          <w:ilvl w:val="0"/>
          <w:numId w:val="0"/>
        </w:numPr>
        <w:ind w:left="1080"/>
      </w:pPr>
    </w:p>
    <w:sectPr w:rsidR="00050919" w:rsidSect="0066079B">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E5BBF" w14:textId="77777777" w:rsidR="001C074A" w:rsidRDefault="001C074A">
      <w:r>
        <w:separator/>
      </w:r>
    </w:p>
  </w:endnote>
  <w:endnote w:type="continuationSeparator" w:id="0">
    <w:p w14:paraId="36B246D3" w14:textId="77777777" w:rsidR="001C074A" w:rsidRDefault="001C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9485"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3B79"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613A" w14:textId="77777777" w:rsidR="001C074A" w:rsidRDefault="001C074A">
      <w:r>
        <w:separator/>
      </w:r>
    </w:p>
  </w:footnote>
  <w:footnote w:type="continuationSeparator" w:id="0">
    <w:p w14:paraId="05339126" w14:textId="77777777" w:rsidR="001C074A" w:rsidRDefault="001C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FBDE"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186CB8E1" wp14:editId="1DFD55F3">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68B"/>
    <w:multiLevelType w:val="multilevel"/>
    <w:tmpl w:val="CA2441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F72F7"/>
    <w:multiLevelType w:val="hybridMultilevel"/>
    <w:tmpl w:val="02C2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26B10"/>
    <w:multiLevelType w:val="multilevel"/>
    <w:tmpl w:val="0BAE5B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F81D04"/>
    <w:multiLevelType w:val="multilevel"/>
    <w:tmpl w:val="6984637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B6D1C"/>
    <w:multiLevelType w:val="multilevel"/>
    <w:tmpl w:val="4DA62F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716176F2"/>
    <w:multiLevelType w:val="hybridMultilevel"/>
    <w:tmpl w:val="0798AC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63111383">
    <w:abstractNumId w:val="4"/>
  </w:num>
  <w:num w:numId="2" w16cid:durableId="1786270382">
    <w:abstractNumId w:val="1"/>
  </w:num>
  <w:num w:numId="3" w16cid:durableId="124739513">
    <w:abstractNumId w:val="0"/>
  </w:num>
  <w:num w:numId="4" w16cid:durableId="1757747998">
    <w:abstractNumId w:val="7"/>
  </w:num>
  <w:num w:numId="5" w16cid:durableId="2143959817">
    <w:abstractNumId w:val="2"/>
  </w:num>
  <w:num w:numId="6" w16cid:durableId="1396465917">
    <w:abstractNumId w:val="5"/>
  </w:num>
  <w:num w:numId="7" w16cid:durableId="478116634">
    <w:abstractNumId w:val="3"/>
  </w:num>
  <w:num w:numId="8" w16cid:durableId="837691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19"/>
    <w:rsid w:val="00017D1D"/>
    <w:rsid w:val="00020D8E"/>
    <w:rsid w:val="00026AE1"/>
    <w:rsid w:val="00030AD5"/>
    <w:rsid w:val="00031648"/>
    <w:rsid w:val="00036F5D"/>
    <w:rsid w:val="00050919"/>
    <w:rsid w:val="0009591C"/>
    <w:rsid w:val="000B70A5"/>
    <w:rsid w:val="000C38F5"/>
    <w:rsid w:val="00173D81"/>
    <w:rsid w:val="00191FFA"/>
    <w:rsid w:val="001A373A"/>
    <w:rsid w:val="001B714F"/>
    <w:rsid w:val="001C074A"/>
    <w:rsid w:val="001D6397"/>
    <w:rsid w:val="001F3FB4"/>
    <w:rsid w:val="001F62F9"/>
    <w:rsid w:val="00225BD5"/>
    <w:rsid w:val="00267EB9"/>
    <w:rsid w:val="00275CB4"/>
    <w:rsid w:val="00291DE4"/>
    <w:rsid w:val="002F536B"/>
    <w:rsid w:val="003014B9"/>
    <w:rsid w:val="00302B1D"/>
    <w:rsid w:val="003047DE"/>
    <w:rsid w:val="0031106C"/>
    <w:rsid w:val="00320042"/>
    <w:rsid w:val="00362004"/>
    <w:rsid w:val="0036280D"/>
    <w:rsid w:val="0037281D"/>
    <w:rsid w:val="00382A85"/>
    <w:rsid w:val="003919E0"/>
    <w:rsid w:val="003D0CE6"/>
    <w:rsid w:val="003E29DE"/>
    <w:rsid w:val="003F3C54"/>
    <w:rsid w:val="00460692"/>
    <w:rsid w:val="004A24A6"/>
    <w:rsid w:val="004D4AF6"/>
    <w:rsid w:val="004E17E1"/>
    <w:rsid w:val="00504C0D"/>
    <w:rsid w:val="005A23F9"/>
    <w:rsid w:val="005A2472"/>
    <w:rsid w:val="005A799B"/>
    <w:rsid w:val="005B21F0"/>
    <w:rsid w:val="005B3AE2"/>
    <w:rsid w:val="005F197D"/>
    <w:rsid w:val="00603DE8"/>
    <w:rsid w:val="00615090"/>
    <w:rsid w:val="00624ABC"/>
    <w:rsid w:val="00654E37"/>
    <w:rsid w:val="0066079B"/>
    <w:rsid w:val="006649D5"/>
    <w:rsid w:val="00676313"/>
    <w:rsid w:val="006841CE"/>
    <w:rsid w:val="006A24EC"/>
    <w:rsid w:val="00723FAA"/>
    <w:rsid w:val="00745D42"/>
    <w:rsid w:val="007475CC"/>
    <w:rsid w:val="007A54E9"/>
    <w:rsid w:val="007B3224"/>
    <w:rsid w:val="008259D4"/>
    <w:rsid w:val="00880E63"/>
    <w:rsid w:val="008832E3"/>
    <w:rsid w:val="00891924"/>
    <w:rsid w:val="008A3CA0"/>
    <w:rsid w:val="008B3866"/>
    <w:rsid w:val="00900712"/>
    <w:rsid w:val="009161C1"/>
    <w:rsid w:val="009433E1"/>
    <w:rsid w:val="009A3CE2"/>
    <w:rsid w:val="009B4704"/>
    <w:rsid w:val="009C0DDD"/>
    <w:rsid w:val="009C6E37"/>
    <w:rsid w:val="009D21C1"/>
    <w:rsid w:val="009E0205"/>
    <w:rsid w:val="009F2491"/>
    <w:rsid w:val="00A003F7"/>
    <w:rsid w:val="00A071E2"/>
    <w:rsid w:val="00A15713"/>
    <w:rsid w:val="00A2455A"/>
    <w:rsid w:val="00A506BC"/>
    <w:rsid w:val="00A54391"/>
    <w:rsid w:val="00A96C13"/>
    <w:rsid w:val="00AA57D1"/>
    <w:rsid w:val="00AB4137"/>
    <w:rsid w:val="00B374F7"/>
    <w:rsid w:val="00B60866"/>
    <w:rsid w:val="00B86E25"/>
    <w:rsid w:val="00B91781"/>
    <w:rsid w:val="00BB697C"/>
    <w:rsid w:val="00BF47E9"/>
    <w:rsid w:val="00C139FB"/>
    <w:rsid w:val="00C3277F"/>
    <w:rsid w:val="00C43240"/>
    <w:rsid w:val="00C551CD"/>
    <w:rsid w:val="00C553A6"/>
    <w:rsid w:val="00CA6C61"/>
    <w:rsid w:val="00CB23AD"/>
    <w:rsid w:val="00CF1DD3"/>
    <w:rsid w:val="00D2145D"/>
    <w:rsid w:val="00D27C11"/>
    <w:rsid w:val="00D32396"/>
    <w:rsid w:val="00DB153F"/>
    <w:rsid w:val="00DD715D"/>
    <w:rsid w:val="00E00319"/>
    <w:rsid w:val="00E239F5"/>
    <w:rsid w:val="00E434FF"/>
    <w:rsid w:val="00EB1015"/>
    <w:rsid w:val="00EB7BC0"/>
    <w:rsid w:val="00EC3258"/>
    <w:rsid w:val="00EC350F"/>
    <w:rsid w:val="00F42154"/>
    <w:rsid w:val="00FA06BA"/>
    <w:rsid w:val="00FC029C"/>
    <w:rsid w:val="00FC73B8"/>
    <w:rsid w:val="2A764709"/>
    <w:rsid w:val="41C973E2"/>
    <w:rsid w:val="54033E80"/>
    <w:rsid w:val="7288E2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CCF05"/>
  <w15:docId w15:val="{05975FCF-215D-4066-8AFE-1D0B2D87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3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050919"/>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050919"/>
    <w:pPr>
      <w:spacing w:after="100"/>
    </w:pPr>
  </w:style>
  <w:style w:type="paragraph" w:styleId="TOC2">
    <w:name w:val="toc 2"/>
    <w:basedOn w:val="Normal"/>
    <w:next w:val="Normal"/>
    <w:autoRedefine/>
    <w:uiPriority w:val="39"/>
    <w:unhideWhenUsed/>
    <w:rsid w:val="00050919"/>
    <w:pPr>
      <w:spacing w:after="100"/>
      <w:ind w:left="240"/>
    </w:pPr>
  </w:style>
  <w:style w:type="paragraph" w:styleId="TOC3">
    <w:name w:val="toc 3"/>
    <w:basedOn w:val="Normal"/>
    <w:next w:val="Normal"/>
    <w:autoRedefine/>
    <w:uiPriority w:val="39"/>
    <w:unhideWhenUsed/>
    <w:rsid w:val="00050919"/>
    <w:pPr>
      <w:spacing w:after="100"/>
      <w:ind w:left="480"/>
    </w:pPr>
  </w:style>
  <w:style w:type="paragraph" w:styleId="Revision">
    <w:name w:val="Revision"/>
    <w:hidden/>
    <w:uiPriority w:val="99"/>
    <w:semiHidden/>
    <w:rsid w:val="00A54391"/>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6" ma:contentTypeDescription="Create a new document." ma:contentTypeScope="" ma:versionID="48ce7e680e0e80d00f5980f9738f3239">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e06e2200895b2828790e7ae78b70138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1F50-7C6A-4B20-BA84-6A319476E0CE}">
  <ds:schemaRefs>
    <ds:schemaRef ds:uri="http://schemas.microsoft.com/sharepoint/v3/contenttype/forms"/>
  </ds:schemaRefs>
</ds:datastoreItem>
</file>

<file path=customXml/itemProps2.xml><?xml version="1.0" encoding="utf-8"?>
<ds:datastoreItem xmlns:ds="http://schemas.openxmlformats.org/officeDocument/2006/customXml" ds:itemID="{CBC65F35-7DBE-43B8-B5A7-AD0827C3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E13F1C3-C5F0-46E1-BD02-103FF3A52307}">
  <ds:schemaRefs>
    <ds:schemaRef ds:uri="http://schemas.microsoft.com/office/2006/metadata/properties"/>
    <ds:schemaRef ds:uri="http://schemas.microsoft.com/office/infopath/2007/PartnerControls"/>
    <ds:schemaRef ds:uri="6c84a01b-aede-4370-8fa9-b7a959cab531"/>
    <ds:schemaRef ds:uri="c19d9144-cbe3-4b5d-a710-46ada0e8ff40"/>
    <ds:schemaRef ds:uri="http://schemas.microsoft.com/sharepoint/v3"/>
  </ds:schemaRefs>
</ds:datastoreItem>
</file>

<file path=customXml/itemProps5.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(1).dotx</Template>
  <TotalTime>0</TotalTime>
  <Pages>10</Pages>
  <Words>1860</Words>
  <Characters>9380</Characters>
  <Application>Microsoft Office Word</Application>
  <DocSecurity>0</DocSecurity>
  <Lines>302</Lines>
  <Paragraphs>147</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Lorisha Glen</cp:lastModifiedBy>
  <cp:revision>2</cp:revision>
  <dcterms:created xsi:type="dcterms:W3CDTF">2025-08-11T11:27:00Z</dcterms:created>
  <dcterms:modified xsi:type="dcterms:W3CDTF">2025-08-11T11:27:00Z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y fmtid="{D5CDD505-2E9C-101B-9397-08002B2CF9AE}" pid="4" name="MediaServiceImageTags">
    <vt:lpwstr/>
  </property>
  <property fmtid="{D5CDD505-2E9C-101B-9397-08002B2CF9AE}" pid="5" name="GrammarlyDocumentId">
    <vt:lpwstr>e3e0b096-2917-4a59-ad37-955cd8eeb6c6</vt:lpwstr>
  </property>
</Properties>
</file>