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FCB9" w14:textId="77777777" w:rsidR="00A506BC" w:rsidRDefault="00A506BC" w:rsidP="000C38F5">
      <w:pPr>
        <w:pStyle w:val="Title"/>
      </w:pPr>
    </w:p>
    <w:p w14:paraId="60F31FB8" w14:textId="77777777" w:rsidR="00A506BC" w:rsidRDefault="00A506BC" w:rsidP="000C38F5">
      <w:pPr>
        <w:pStyle w:val="Title"/>
      </w:pPr>
    </w:p>
    <w:p w14:paraId="5B760DD0" w14:textId="77777777" w:rsidR="00A071E2" w:rsidRDefault="00A071E2" w:rsidP="000C38F5">
      <w:pPr>
        <w:pStyle w:val="Title"/>
      </w:pPr>
    </w:p>
    <w:p w14:paraId="5AFCDD45" w14:textId="57E757C6" w:rsidR="000C38F5" w:rsidRDefault="00D30BE2" w:rsidP="00E00319">
      <w:pPr>
        <w:pStyle w:val="Title"/>
        <w:spacing w:line="360" w:lineRule="auto"/>
        <w:rPr>
          <w:szCs w:val="48"/>
        </w:rPr>
      </w:pPr>
      <w:bookmarkStart w:id="0" w:name="_Toc111327631"/>
      <w:r w:rsidRPr="000421B5">
        <w:rPr>
          <w:szCs w:val="48"/>
        </w:rPr>
        <w:t xml:space="preserve">General Student Regulations </w:t>
      </w:r>
      <w:r w:rsidR="00DA6F21" w:rsidRPr="000421B5">
        <w:rPr>
          <w:szCs w:val="48"/>
        </w:rPr>
        <w:t>2025-26</w:t>
      </w:r>
      <w:r w:rsidRPr="000421B5">
        <w:rPr>
          <w:szCs w:val="48"/>
        </w:rPr>
        <w:br/>
        <w:t xml:space="preserve">Section </w:t>
      </w:r>
      <w:r w:rsidR="00721696" w:rsidRPr="000421B5">
        <w:rPr>
          <w:szCs w:val="48"/>
        </w:rPr>
        <w:t>0</w:t>
      </w:r>
      <w:r w:rsidRPr="000421B5">
        <w:rPr>
          <w:szCs w:val="48"/>
        </w:rPr>
        <w:t>4 – Use of Premises and Resources</w:t>
      </w:r>
      <w:bookmarkEnd w:id="0"/>
    </w:p>
    <w:p w14:paraId="31BD8094" w14:textId="77777777" w:rsidR="000421B5" w:rsidRPr="000421B5" w:rsidRDefault="000421B5" w:rsidP="000421B5"/>
    <w:p w14:paraId="31C191CF" w14:textId="77777777" w:rsidR="005B3AE2" w:rsidRDefault="005B3AE2" w:rsidP="005B3AE2">
      <w:pPr>
        <w:suppressAutoHyphens w:val="0"/>
        <w:spacing w:after="0" w:line="240" w:lineRule="auto"/>
      </w:pPr>
    </w:p>
    <w:p w14:paraId="6A0381B2" w14:textId="77777777" w:rsidR="005B3AE2" w:rsidRDefault="005B3AE2" w:rsidP="005B3AE2">
      <w:pPr>
        <w:suppressAutoHyphens w:val="0"/>
        <w:spacing w:after="0" w:line="240" w:lineRule="auto"/>
      </w:pPr>
    </w:p>
    <w:p w14:paraId="23937F27" w14:textId="77777777" w:rsidR="005B3AE2" w:rsidRDefault="005B3AE2" w:rsidP="005B3AE2">
      <w:pPr>
        <w:suppressAutoHyphens w:val="0"/>
        <w:spacing w:after="0" w:line="240" w:lineRule="auto"/>
      </w:pPr>
    </w:p>
    <w:p w14:paraId="6C81CDD0" w14:textId="77777777" w:rsidR="005B3AE2" w:rsidRDefault="005B3AE2" w:rsidP="005B3AE2">
      <w:pPr>
        <w:suppressAutoHyphens w:val="0"/>
        <w:spacing w:after="0" w:line="240" w:lineRule="auto"/>
      </w:pPr>
    </w:p>
    <w:p w14:paraId="4AC18BD0" w14:textId="77777777" w:rsidR="005B3AE2" w:rsidRDefault="005B3AE2" w:rsidP="005B3AE2">
      <w:pPr>
        <w:suppressAutoHyphens w:val="0"/>
        <w:spacing w:after="0" w:line="240" w:lineRule="auto"/>
      </w:pPr>
    </w:p>
    <w:p w14:paraId="7E1D9016" w14:textId="77777777" w:rsidR="005B3AE2" w:rsidRDefault="005B3AE2" w:rsidP="005B3AE2">
      <w:pPr>
        <w:suppressAutoHyphens w:val="0"/>
        <w:spacing w:after="0" w:line="240" w:lineRule="auto"/>
      </w:pPr>
    </w:p>
    <w:p w14:paraId="4F2DA0EA" w14:textId="77777777" w:rsidR="005B3AE2" w:rsidRDefault="005B3AE2" w:rsidP="005B3AE2">
      <w:pPr>
        <w:suppressAutoHyphens w:val="0"/>
        <w:spacing w:after="0" w:line="240" w:lineRule="auto"/>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4860"/>
      </w:tblGrid>
      <w:tr w:rsidR="2D30E5F6" w14:paraId="1EF7581B" w14:textId="77777777" w:rsidTr="00841EF9">
        <w:trPr>
          <w:trHeight w:val="300"/>
        </w:trPr>
        <w:tc>
          <w:tcPr>
            <w:tcW w:w="4035" w:type="dxa"/>
            <w:tcBorders>
              <w:top w:val="single" w:sz="6" w:space="0" w:color="auto"/>
              <w:left w:val="single" w:sz="6" w:space="0" w:color="auto"/>
              <w:bottom w:val="nil"/>
              <w:right w:val="nil"/>
            </w:tcBorders>
            <w:vAlign w:val="center"/>
          </w:tcPr>
          <w:p w14:paraId="0E1154E6" w14:textId="572DEA75" w:rsidR="2D30E5F6" w:rsidRDefault="2D30E5F6" w:rsidP="00841EF9">
            <w:pPr>
              <w:widowControl/>
              <w:spacing w:after="0" w:line="240" w:lineRule="auto"/>
              <w:ind w:left="270" w:hanging="135"/>
              <w:rPr>
                <w:rFonts w:eastAsia="Arial"/>
                <w:color w:val="000000" w:themeColor="text1"/>
                <w:szCs w:val="24"/>
              </w:rPr>
            </w:pPr>
            <w:r w:rsidRPr="2D30E5F6">
              <w:rPr>
                <w:rFonts w:eastAsia="Arial"/>
                <w:b/>
                <w:bCs/>
                <w:color w:val="000000" w:themeColor="text1"/>
                <w:szCs w:val="24"/>
              </w:rPr>
              <w:t>Document Control Information </w:t>
            </w:r>
          </w:p>
        </w:tc>
        <w:tc>
          <w:tcPr>
            <w:tcW w:w="4860" w:type="dxa"/>
            <w:tcBorders>
              <w:top w:val="single" w:sz="6" w:space="0" w:color="auto"/>
              <w:left w:val="nil"/>
              <w:bottom w:val="nil"/>
              <w:right w:val="single" w:sz="6" w:space="0" w:color="auto"/>
            </w:tcBorders>
            <w:vAlign w:val="center"/>
          </w:tcPr>
          <w:p w14:paraId="151E3F24" w14:textId="0497A359" w:rsidR="2D30E5F6" w:rsidRDefault="2D30E5F6" w:rsidP="00841EF9">
            <w:pPr>
              <w:widowControl/>
              <w:spacing w:after="0" w:line="240" w:lineRule="auto"/>
              <w:ind w:left="270" w:hanging="135"/>
              <w:rPr>
                <w:rFonts w:eastAsia="Arial"/>
                <w:color w:val="000000" w:themeColor="text1"/>
                <w:szCs w:val="24"/>
              </w:rPr>
            </w:pPr>
            <w:r w:rsidRPr="2D30E5F6">
              <w:rPr>
                <w:rFonts w:eastAsia="Arial"/>
                <w:b/>
                <w:bCs/>
                <w:color w:val="000000" w:themeColor="text1"/>
                <w:szCs w:val="24"/>
              </w:rPr>
              <w:t> </w:t>
            </w:r>
          </w:p>
        </w:tc>
      </w:tr>
      <w:tr w:rsidR="2D30E5F6" w14:paraId="3B1F2635" w14:textId="77777777" w:rsidTr="00841EF9">
        <w:trPr>
          <w:trHeight w:val="300"/>
        </w:trPr>
        <w:tc>
          <w:tcPr>
            <w:tcW w:w="4035" w:type="dxa"/>
            <w:tcBorders>
              <w:top w:val="single" w:sz="6" w:space="0" w:color="auto"/>
              <w:left w:val="single" w:sz="6" w:space="0" w:color="auto"/>
              <w:bottom w:val="nil"/>
              <w:right w:val="nil"/>
            </w:tcBorders>
            <w:vAlign w:val="center"/>
          </w:tcPr>
          <w:p w14:paraId="708F4562" w14:textId="2DB31172"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Version control</w:t>
            </w:r>
            <w:r w:rsidRPr="2D30E5F6">
              <w:rPr>
                <w:rFonts w:eastAsia="Arial"/>
                <w:b/>
                <w:bCs/>
                <w:color w:val="000000" w:themeColor="text1"/>
                <w:szCs w:val="24"/>
              </w:rPr>
              <w:t> </w:t>
            </w:r>
          </w:p>
        </w:tc>
        <w:tc>
          <w:tcPr>
            <w:tcW w:w="4860" w:type="dxa"/>
            <w:tcBorders>
              <w:top w:val="single" w:sz="6" w:space="0" w:color="auto"/>
              <w:left w:val="nil"/>
              <w:bottom w:val="nil"/>
              <w:right w:val="single" w:sz="6" w:space="0" w:color="auto"/>
            </w:tcBorders>
            <w:vAlign w:val="center"/>
          </w:tcPr>
          <w:p w14:paraId="5F649630" w14:textId="786EB863" w:rsidR="2D30E5F6" w:rsidRDefault="2D30E5F6" w:rsidP="00841EF9">
            <w:pPr>
              <w:widowControl/>
              <w:spacing w:after="0" w:line="240" w:lineRule="auto"/>
              <w:ind w:left="270" w:hanging="135"/>
              <w:rPr>
                <w:rFonts w:eastAsia="Arial"/>
                <w:color w:val="000000" w:themeColor="text1"/>
                <w:szCs w:val="24"/>
              </w:rPr>
            </w:pPr>
            <w:r w:rsidRPr="2D30E5F6">
              <w:rPr>
                <w:rFonts w:eastAsia="Arial"/>
                <w:b/>
                <w:bCs/>
                <w:color w:val="000000" w:themeColor="text1"/>
                <w:szCs w:val="24"/>
              </w:rPr>
              <w:t>1.0</w:t>
            </w:r>
          </w:p>
        </w:tc>
      </w:tr>
      <w:tr w:rsidR="2D30E5F6" w14:paraId="14A68463" w14:textId="77777777" w:rsidTr="00841EF9">
        <w:trPr>
          <w:trHeight w:val="300"/>
        </w:trPr>
        <w:tc>
          <w:tcPr>
            <w:tcW w:w="4035" w:type="dxa"/>
            <w:tcBorders>
              <w:top w:val="nil"/>
              <w:left w:val="single" w:sz="6" w:space="0" w:color="auto"/>
              <w:bottom w:val="nil"/>
              <w:right w:val="nil"/>
            </w:tcBorders>
            <w:vAlign w:val="center"/>
          </w:tcPr>
          <w:p w14:paraId="0F87A64C" w14:textId="3670A635"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Owned by: </w:t>
            </w:r>
            <w:r w:rsidRPr="2D30E5F6">
              <w:rPr>
                <w:rFonts w:eastAsia="Arial"/>
                <w:b/>
                <w:bCs/>
                <w:color w:val="000000" w:themeColor="text1"/>
                <w:szCs w:val="24"/>
              </w:rPr>
              <w:t> </w:t>
            </w:r>
          </w:p>
        </w:tc>
        <w:tc>
          <w:tcPr>
            <w:tcW w:w="4860" w:type="dxa"/>
            <w:tcBorders>
              <w:top w:val="nil"/>
              <w:left w:val="nil"/>
              <w:bottom w:val="nil"/>
              <w:right w:val="single" w:sz="6" w:space="0" w:color="auto"/>
            </w:tcBorders>
            <w:vAlign w:val="center"/>
          </w:tcPr>
          <w:p w14:paraId="0E18A91D" w14:textId="614FC87F" w:rsidR="7B891083" w:rsidRDefault="7B891083" w:rsidP="2D30E5F6">
            <w:pPr>
              <w:widowControl/>
              <w:spacing w:after="0" w:line="240" w:lineRule="auto"/>
              <w:ind w:left="270" w:hanging="135"/>
            </w:pPr>
            <w:r>
              <w:t>Associate Pro-Vice Chancellor, Student Success</w:t>
            </w:r>
          </w:p>
        </w:tc>
      </w:tr>
      <w:tr w:rsidR="2D30E5F6" w14:paraId="081D3450" w14:textId="77777777" w:rsidTr="00841EF9">
        <w:trPr>
          <w:trHeight w:val="300"/>
        </w:trPr>
        <w:tc>
          <w:tcPr>
            <w:tcW w:w="4035" w:type="dxa"/>
            <w:tcBorders>
              <w:top w:val="nil"/>
              <w:left w:val="single" w:sz="6" w:space="0" w:color="auto"/>
              <w:bottom w:val="nil"/>
              <w:right w:val="nil"/>
            </w:tcBorders>
            <w:vAlign w:val="center"/>
          </w:tcPr>
          <w:p w14:paraId="1EE97B69" w14:textId="18A83F1A"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Latest amendment on:</w:t>
            </w:r>
            <w:r w:rsidRPr="2D30E5F6">
              <w:rPr>
                <w:rFonts w:eastAsia="Arial"/>
                <w:b/>
                <w:bCs/>
                <w:color w:val="000000" w:themeColor="text1"/>
                <w:szCs w:val="24"/>
              </w:rPr>
              <w:t> </w:t>
            </w:r>
          </w:p>
        </w:tc>
        <w:tc>
          <w:tcPr>
            <w:tcW w:w="4860" w:type="dxa"/>
            <w:tcBorders>
              <w:top w:val="nil"/>
              <w:left w:val="nil"/>
              <w:bottom w:val="nil"/>
              <w:right w:val="single" w:sz="6" w:space="0" w:color="auto"/>
            </w:tcBorders>
            <w:vAlign w:val="center"/>
          </w:tcPr>
          <w:p w14:paraId="273194C8" w14:textId="1AAD9B36"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u w:val="single"/>
              </w:rPr>
              <w:t>June 2025</w:t>
            </w:r>
            <w:r w:rsidRPr="2D30E5F6">
              <w:rPr>
                <w:rFonts w:eastAsia="Arial"/>
                <w:b/>
                <w:bCs/>
                <w:color w:val="000000" w:themeColor="text1"/>
                <w:szCs w:val="24"/>
              </w:rPr>
              <w:t> </w:t>
            </w:r>
          </w:p>
        </w:tc>
      </w:tr>
      <w:tr w:rsidR="2D30E5F6" w14:paraId="1B9F8D0F" w14:textId="77777777" w:rsidTr="00841EF9">
        <w:trPr>
          <w:trHeight w:val="300"/>
        </w:trPr>
        <w:tc>
          <w:tcPr>
            <w:tcW w:w="4035" w:type="dxa"/>
            <w:tcBorders>
              <w:top w:val="nil"/>
              <w:left w:val="single" w:sz="6" w:space="0" w:color="auto"/>
              <w:bottom w:val="nil"/>
              <w:right w:val="nil"/>
            </w:tcBorders>
            <w:vAlign w:val="center"/>
          </w:tcPr>
          <w:p w14:paraId="6E9370E3" w14:textId="7853740D"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Approved by:</w:t>
            </w:r>
            <w:r w:rsidRPr="2D30E5F6">
              <w:rPr>
                <w:rFonts w:eastAsia="Arial"/>
                <w:b/>
                <w:bCs/>
                <w:color w:val="000000" w:themeColor="text1"/>
                <w:szCs w:val="24"/>
              </w:rPr>
              <w:t> </w:t>
            </w:r>
          </w:p>
        </w:tc>
        <w:tc>
          <w:tcPr>
            <w:tcW w:w="4860" w:type="dxa"/>
            <w:tcBorders>
              <w:top w:val="nil"/>
              <w:left w:val="nil"/>
              <w:bottom w:val="nil"/>
              <w:right w:val="single" w:sz="6" w:space="0" w:color="auto"/>
            </w:tcBorders>
            <w:vAlign w:val="center"/>
          </w:tcPr>
          <w:p w14:paraId="5447E159" w14:textId="1405F6F9"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u w:val="single"/>
              </w:rPr>
              <w:t>Academic Board</w:t>
            </w:r>
            <w:r w:rsidRPr="2D30E5F6">
              <w:rPr>
                <w:rFonts w:eastAsia="Arial"/>
                <w:b/>
                <w:bCs/>
                <w:color w:val="000000" w:themeColor="text1"/>
                <w:szCs w:val="24"/>
              </w:rPr>
              <w:t> </w:t>
            </w:r>
          </w:p>
        </w:tc>
      </w:tr>
      <w:tr w:rsidR="2D30E5F6" w14:paraId="09703236" w14:textId="77777777" w:rsidTr="00841EF9">
        <w:trPr>
          <w:trHeight w:val="300"/>
        </w:trPr>
        <w:tc>
          <w:tcPr>
            <w:tcW w:w="4035" w:type="dxa"/>
            <w:tcBorders>
              <w:top w:val="nil"/>
              <w:left w:val="single" w:sz="6" w:space="0" w:color="auto"/>
              <w:bottom w:val="nil"/>
              <w:right w:val="nil"/>
            </w:tcBorders>
            <w:vAlign w:val="center"/>
          </w:tcPr>
          <w:p w14:paraId="6648186C" w14:textId="63CDFA0F"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Approved on:</w:t>
            </w:r>
            <w:r w:rsidRPr="2D30E5F6">
              <w:rPr>
                <w:rFonts w:eastAsia="Arial"/>
                <w:b/>
                <w:bCs/>
                <w:color w:val="000000" w:themeColor="text1"/>
                <w:szCs w:val="24"/>
              </w:rPr>
              <w:t> </w:t>
            </w:r>
          </w:p>
        </w:tc>
        <w:tc>
          <w:tcPr>
            <w:tcW w:w="4860" w:type="dxa"/>
            <w:tcBorders>
              <w:top w:val="nil"/>
              <w:left w:val="nil"/>
              <w:bottom w:val="nil"/>
              <w:right w:val="single" w:sz="6" w:space="0" w:color="auto"/>
            </w:tcBorders>
            <w:vAlign w:val="center"/>
          </w:tcPr>
          <w:p w14:paraId="615BD221" w14:textId="146BC72C"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u w:val="single"/>
              </w:rPr>
              <w:t>4 June 2025</w:t>
            </w:r>
            <w:r w:rsidRPr="2D30E5F6">
              <w:rPr>
                <w:rFonts w:eastAsia="Arial"/>
                <w:b/>
                <w:bCs/>
                <w:color w:val="000000" w:themeColor="text1"/>
                <w:szCs w:val="24"/>
              </w:rPr>
              <w:t> </w:t>
            </w:r>
          </w:p>
        </w:tc>
      </w:tr>
      <w:tr w:rsidR="2D30E5F6" w14:paraId="3462524D" w14:textId="77777777" w:rsidTr="00841EF9">
        <w:trPr>
          <w:trHeight w:val="300"/>
        </w:trPr>
        <w:tc>
          <w:tcPr>
            <w:tcW w:w="4035" w:type="dxa"/>
            <w:tcBorders>
              <w:top w:val="nil"/>
              <w:left w:val="single" w:sz="6" w:space="0" w:color="auto"/>
              <w:bottom w:val="nil"/>
              <w:right w:val="nil"/>
            </w:tcBorders>
            <w:vAlign w:val="center"/>
          </w:tcPr>
          <w:p w14:paraId="79C07EAB" w14:textId="45C50A36"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Coming into effect on:</w:t>
            </w:r>
            <w:r w:rsidRPr="2D30E5F6">
              <w:rPr>
                <w:rFonts w:eastAsia="Arial"/>
                <w:b/>
                <w:bCs/>
                <w:color w:val="000000" w:themeColor="text1"/>
                <w:szCs w:val="24"/>
              </w:rPr>
              <w:t> </w:t>
            </w:r>
          </w:p>
        </w:tc>
        <w:tc>
          <w:tcPr>
            <w:tcW w:w="4860" w:type="dxa"/>
            <w:tcBorders>
              <w:top w:val="nil"/>
              <w:left w:val="nil"/>
              <w:bottom w:val="nil"/>
              <w:right w:val="single" w:sz="6" w:space="0" w:color="auto"/>
            </w:tcBorders>
            <w:vAlign w:val="center"/>
          </w:tcPr>
          <w:p w14:paraId="6E1DEF40" w14:textId="2E4219BA" w:rsidR="724C962B" w:rsidRDefault="724C962B"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u w:val="single"/>
              </w:rPr>
              <w:t xml:space="preserve">01 </w:t>
            </w:r>
            <w:r w:rsidR="2D30E5F6" w:rsidRPr="2D30E5F6">
              <w:rPr>
                <w:rFonts w:eastAsia="Arial"/>
                <w:color w:val="000000" w:themeColor="text1"/>
                <w:szCs w:val="24"/>
                <w:u w:val="single"/>
              </w:rPr>
              <w:t>September 2025</w:t>
            </w:r>
            <w:r w:rsidR="2D30E5F6" w:rsidRPr="2D30E5F6">
              <w:rPr>
                <w:rFonts w:eastAsia="Arial"/>
                <w:b/>
                <w:bCs/>
                <w:color w:val="000000" w:themeColor="text1"/>
                <w:szCs w:val="24"/>
              </w:rPr>
              <w:t> </w:t>
            </w:r>
          </w:p>
        </w:tc>
      </w:tr>
      <w:tr w:rsidR="2D30E5F6" w14:paraId="24BE8D34" w14:textId="77777777" w:rsidTr="00841EF9">
        <w:trPr>
          <w:trHeight w:val="300"/>
        </w:trPr>
        <w:tc>
          <w:tcPr>
            <w:tcW w:w="4035" w:type="dxa"/>
            <w:tcBorders>
              <w:top w:val="nil"/>
              <w:left w:val="single" w:sz="6" w:space="0" w:color="auto"/>
              <w:bottom w:val="nil"/>
              <w:right w:val="nil"/>
            </w:tcBorders>
            <w:vAlign w:val="center"/>
          </w:tcPr>
          <w:p w14:paraId="6AF597E6" w14:textId="6E417482"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rPr>
              <w:t>Review date:</w:t>
            </w:r>
            <w:r w:rsidRPr="2D30E5F6">
              <w:rPr>
                <w:rFonts w:eastAsia="Arial"/>
                <w:b/>
                <w:bCs/>
                <w:color w:val="000000" w:themeColor="text1"/>
                <w:szCs w:val="24"/>
              </w:rPr>
              <w:t> </w:t>
            </w:r>
          </w:p>
        </w:tc>
        <w:tc>
          <w:tcPr>
            <w:tcW w:w="4860" w:type="dxa"/>
            <w:tcBorders>
              <w:top w:val="nil"/>
              <w:left w:val="nil"/>
              <w:bottom w:val="nil"/>
              <w:right w:val="single" w:sz="6" w:space="0" w:color="auto"/>
            </w:tcBorders>
            <w:vAlign w:val="center"/>
          </w:tcPr>
          <w:p w14:paraId="62DB6060" w14:textId="2C069AC0" w:rsidR="2D30E5F6" w:rsidRDefault="2D30E5F6" w:rsidP="00841EF9">
            <w:pPr>
              <w:widowControl/>
              <w:spacing w:after="0" w:line="240" w:lineRule="auto"/>
              <w:ind w:left="270" w:hanging="135"/>
              <w:rPr>
                <w:rFonts w:eastAsia="Arial"/>
                <w:color w:val="000000" w:themeColor="text1"/>
                <w:szCs w:val="24"/>
              </w:rPr>
            </w:pPr>
            <w:r w:rsidRPr="2D30E5F6">
              <w:rPr>
                <w:rFonts w:eastAsia="Arial"/>
                <w:color w:val="000000" w:themeColor="text1"/>
                <w:szCs w:val="24"/>
                <w:u w:val="single"/>
              </w:rPr>
              <w:t>June 2026</w:t>
            </w:r>
            <w:r w:rsidRPr="2D30E5F6">
              <w:rPr>
                <w:rFonts w:eastAsia="Arial"/>
                <w:b/>
                <w:bCs/>
                <w:color w:val="000000" w:themeColor="text1"/>
                <w:szCs w:val="24"/>
              </w:rPr>
              <w:t> </w:t>
            </w:r>
          </w:p>
          <w:p w14:paraId="58CE3E74" w14:textId="4792D4FE" w:rsidR="2D30E5F6" w:rsidRDefault="2D30E5F6" w:rsidP="00841EF9">
            <w:pPr>
              <w:widowControl/>
              <w:spacing w:after="0" w:line="240" w:lineRule="auto"/>
              <w:rPr>
                <w:rFonts w:ascii="Segoe UI" w:eastAsia="Segoe UI" w:hAnsi="Segoe UI" w:cs="Segoe UI"/>
                <w:color w:val="000000" w:themeColor="text1"/>
                <w:sz w:val="18"/>
                <w:szCs w:val="18"/>
              </w:rPr>
            </w:pPr>
          </w:p>
        </w:tc>
      </w:tr>
      <w:tr w:rsidR="2D30E5F6" w14:paraId="09F2F733" w14:textId="77777777" w:rsidTr="00841EF9">
        <w:trPr>
          <w:trHeight w:val="300"/>
        </w:trPr>
        <w:tc>
          <w:tcPr>
            <w:tcW w:w="4035" w:type="dxa"/>
            <w:tcBorders>
              <w:top w:val="nil"/>
              <w:left w:val="single" w:sz="6" w:space="0" w:color="auto"/>
              <w:bottom w:val="nil"/>
              <w:right w:val="nil"/>
            </w:tcBorders>
            <w:vAlign w:val="center"/>
          </w:tcPr>
          <w:p w14:paraId="25EBD8EE" w14:textId="7BD58FF1" w:rsidR="2D30E5F6" w:rsidRDefault="2D30E5F6" w:rsidP="00841EF9">
            <w:pPr>
              <w:widowControl/>
              <w:spacing w:after="0" w:line="240" w:lineRule="auto"/>
              <w:rPr>
                <w:rFonts w:ascii="Segoe UI" w:eastAsia="Segoe UI" w:hAnsi="Segoe UI" w:cs="Segoe UI"/>
                <w:color w:val="000000" w:themeColor="text1"/>
                <w:sz w:val="18"/>
                <w:szCs w:val="18"/>
              </w:rPr>
            </w:pPr>
          </w:p>
        </w:tc>
        <w:tc>
          <w:tcPr>
            <w:tcW w:w="4860" w:type="dxa"/>
            <w:tcBorders>
              <w:top w:val="nil"/>
              <w:left w:val="nil"/>
              <w:bottom w:val="nil"/>
              <w:right w:val="single" w:sz="6" w:space="0" w:color="auto"/>
            </w:tcBorders>
            <w:vAlign w:val="center"/>
          </w:tcPr>
          <w:p w14:paraId="3CAD407B" w14:textId="5C56FC5C" w:rsidR="2D30E5F6" w:rsidRDefault="2D30E5F6" w:rsidP="00841EF9">
            <w:pPr>
              <w:widowControl/>
              <w:spacing w:after="0" w:line="240" w:lineRule="auto"/>
              <w:rPr>
                <w:rFonts w:ascii="Segoe UI" w:eastAsia="Segoe UI" w:hAnsi="Segoe UI" w:cs="Segoe UI"/>
                <w:color w:val="000000" w:themeColor="text1"/>
                <w:sz w:val="18"/>
                <w:szCs w:val="18"/>
              </w:rPr>
            </w:pPr>
          </w:p>
        </w:tc>
      </w:tr>
      <w:tr w:rsidR="2D30E5F6" w14:paraId="574A48F4" w14:textId="77777777" w:rsidTr="00841EF9">
        <w:trPr>
          <w:trHeight w:val="300"/>
        </w:trPr>
        <w:tc>
          <w:tcPr>
            <w:tcW w:w="4035" w:type="dxa"/>
            <w:tcBorders>
              <w:top w:val="nil"/>
              <w:left w:val="single" w:sz="6" w:space="0" w:color="auto"/>
              <w:bottom w:val="single" w:sz="6" w:space="0" w:color="auto"/>
              <w:right w:val="nil"/>
            </w:tcBorders>
            <w:vAlign w:val="center"/>
          </w:tcPr>
          <w:p w14:paraId="113AA8E1" w14:textId="0BE9AAD5" w:rsidR="2D30E5F6" w:rsidRDefault="2D30E5F6" w:rsidP="00841EF9">
            <w:pPr>
              <w:widowControl/>
              <w:spacing w:after="0" w:line="240" w:lineRule="auto"/>
              <w:rPr>
                <w:rFonts w:ascii="Segoe UI" w:eastAsia="Segoe UI" w:hAnsi="Segoe UI" w:cs="Segoe UI"/>
                <w:color w:val="000000" w:themeColor="text1"/>
                <w:sz w:val="18"/>
                <w:szCs w:val="18"/>
              </w:rPr>
            </w:pPr>
          </w:p>
        </w:tc>
        <w:tc>
          <w:tcPr>
            <w:tcW w:w="4860" w:type="dxa"/>
            <w:tcBorders>
              <w:top w:val="nil"/>
              <w:left w:val="nil"/>
              <w:bottom w:val="single" w:sz="6" w:space="0" w:color="auto"/>
              <w:right w:val="single" w:sz="6" w:space="0" w:color="auto"/>
            </w:tcBorders>
            <w:vAlign w:val="center"/>
          </w:tcPr>
          <w:p w14:paraId="2DBB18C4" w14:textId="19F2A8D6" w:rsidR="2D30E5F6" w:rsidRDefault="2D30E5F6" w:rsidP="00841EF9">
            <w:pPr>
              <w:widowControl/>
              <w:spacing w:after="0" w:line="240" w:lineRule="auto"/>
              <w:rPr>
                <w:rFonts w:ascii="Segoe UI" w:eastAsia="Segoe UI" w:hAnsi="Segoe UI" w:cs="Segoe UI"/>
                <w:color w:val="000000" w:themeColor="text1"/>
                <w:sz w:val="18"/>
                <w:szCs w:val="18"/>
              </w:rPr>
            </w:pPr>
          </w:p>
        </w:tc>
      </w:tr>
    </w:tbl>
    <w:p w14:paraId="248313D7" w14:textId="50FD6FB7" w:rsidR="005B3AE2" w:rsidRDefault="005B3AE2" w:rsidP="005B3AE2">
      <w:pPr>
        <w:suppressAutoHyphens w:val="0"/>
        <w:spacing w:after="0" w:line="240" w:lineRule="auto"/>
      </w:pPr>
    </w:p>
    <w:p w14:paraId="6A4CF5FA" w14:textId="77777777" w:rsidR="00841EF9" w:rsidRDefault="00841EF9" w:rsidP="005B3AE2">
      <w:pPr>
        <w:suppressAutoHyphens w:val="0"/>
        <w:spacing w:after="0" w:line="240" w:lineRule="auto"/>
      </w:pPr>
    </w:p>
    <w:p w14:paraId="350CF306" w14:textId="77777777" w:rsidR="00841EF9" w:rsidRDefault="00841EF9" w:rsidP="005B3AE2">
      <w:pPr>
        <w:suppressAutoHyphens w:val="0"/>
        <w:spacing w:after="0" w:line="240" w:lineRule="auto"/>
      </w:pPr>
    </w:p>
    <w:p w14:paraId="0E95DCB8" w14:textId="77777777" w:rsidR="00841EF9" w:rsidRDefault="00841EF9" w:rsidP="005B3AE2">
      <w:pPr>
        <w:suppressAutoHyphens w:val="0"/>
        <w:spacing w:after="0" w:line="240" w:lineRule="auto"/>
      </w:pPr>
    </w:p>
    <w:p w14:paraId="539CE8FC" w14:textId="77777777" w:rsidR="005B3AE2" w:rsidRDefault="005B3AE2" w:rsidP="005B3AE2">
      <w:pPr>
        <w:suppressAutoHyphens w:val="0"/>
        <w:spacing w:after="0" w:line="240" w:lineRule="auto"/>
      </w:pPr>
    </w:p>
    <w:sdt>
      <w:sdtPr>
        <w:rPr>
          <w:rFonts w:ascii="Arial" w:eastAsia="Times New Roman" w:hAnsi="Arial" w:cs="Arial"/>
          <w:snapToGrid w:val="0"/>
          <w:color w:val="auto"/>
          <w:sz w:val="24"/>
          <w:szCs w:val="20"/>
          <w:lang w:val="en-GB" w:eastAsia="en-GB"/>
        </w:rPr>
        <w:id w:val="-783429096"/>
        <w:docPartObj>
          <w:docPartGallery w:val="Table of Contents"/>
          <w:docPartUnique/>
        </w:docPartObj>
      </w:sdtPr>
      <w:sdtEndPr>
        <w:rPr>
          <w:b/>
          <w:bCs/>
          <w:noProof/>
        </w:rPr>
      </w:sdtEndPr>
      <w:sdtContent>
        <w:p w14:paraId="244A238D" w14:textId="388C4CAA" w:rsidR="00D30BE2" w:rsidRPr="00F34AB1" w:rsidRDefault="00D30BE2">
          <w:pPr>
            <w:pStyle w:val="TOCHeading"/>
            <w:rPr>
              <w:rFonts w:ascii="Arial" w:hAnsi="Arial" w:cs="Arial"/>
              <w:b/>
              <w:bCs/>
              <w:color w:val="auto"/>
            </w:rPr>
          </w:pPr>
          <w:r w:rsidRPr="00F34AB1">
            <w:rPr>
              <w:rFonts w:ascii="Arial" w:hAnsi="Arial" w:cs="Arial"/>
              <w:b/>
              <w:bCs/>
              <w:color w:val="auto"/>
            </w:rPr>
            <w:t>Contents</w:t>
          </w:r>
        </w:p>
        <w:p w14:paraId="756782A4" w14:textId="33C21AA5" w:rsidR="00164546" w:rsidRDefault="00D30BE2">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1F0BC517" w14:textId="3D3E6DFB" w:rsidR="00164546" w:rsidRDefault="0016454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2" w:history="1">
            <w:r w:rsidRPr="00220D61">
              <w:rPr>
                <w:rStyle w:val="Hyperlink"/>
                <w:noProof/>
              </w:rPr>
              <w:t>1.</w:t>
            </w:r>
            <w:r>
              <w:rPr>
                <w:rFonts w:asciiTheme="minorHAnsi" w:eastAsiaTheme="minorEastAsia" w:hAnsiTheme="minorHAnsi" w:cstheme="minorBidi"/>
                <w:noProof/>
                <w:snapToGrid/>
                <w:sz w:val="22"/>
                <w:szCs w:val="22"/>
              </w:rPr>
              <w:tab/>
            </w:r>
            <w:r w:rsidRPr="00220D61">
              <w:rPr>
                <w:rStyle w:val="Hyperlink"/>
                <w:noProof/>
              </w:rPr>
              <w:t>Use of premises</w:t>
            </w:r>
            <w:r>
              <w:rPr>
                <w:noProof/>
                <w:webHidden/>
              </w:rPr>
              <w:tab/>
            </w:r>
            <w:r>
              <w:rPr>
                <w:noProof/>
                <w:webHidden/>
              </w:rPr>
              <w:fldChar w:fldCharType="begin"/>
            </w:r>
            <w:r>
              <w:rPr>
                <w:noProof/>
                <w:webHidden/>
              </w:rPr>
              <w:instrText xml:space="preserve"> PAGEREF _Toc111327632 \h </w:instrText>
            </w:r>
            <w:r>
              <w:rPr>
                <w:noProof/>
                <w:webHidden/>
              </w:rPr>
            </w:r>
            <w:r>
              <w:rPr>
                <w:noProof/>
                <w:webHidden/>
              </w:rPr>
              <w:fldChar w:fldCharType="separate"/>
            </w:r>
            <w:r w:rsidR="00F92BDA">
              <w:rPr>
                <w:noProof/>
                <w:webHidden/>
              </w:rPr>
              <w:t>3</w:t>
            </w:r>
            <w:r>
              <w:rPr>
                <w:noProof/>
                <w:webHidden/>
              </w:rPr>
              <w:fldChar w:fldCharType="end"/>
            </w:r>
          </w:hyperlink>
        </w:p>
        <w:p w14:paraId="2194D268" w14:textId="00BFFD7A" w:rsidR="00164546" w:rsidRDefault="0016454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3" w:history="1">
            <w:r w:rsidRPr="00220D61">
              <w:rPr>
                <w:rStyle w:val="Hyperlink"/>
                <w:noProof/>
              </w:rPr>
              <w:t>2.</w:t>
            </w:r>
            <w:r>
              <w:rPr>
                <w:rFonts w:asciiTheme="minorHAnsi" w:eastAsiaTheme="minorEastAsia" w:hAnsiTheme="minorHAnsi" w:cstheme="minorBidi"/>
                <w:noProof/>
                <w:snapToGrid/>
                <w:sz w:val="22"/>
                <w:szCs w:val="22"/>
              </w:rPr>
              <w:tab/>
            </w:r>
            <w:r w:rsidRPr="00220D61">
              <w:rPr>
                <w:rStyle w:val="Hyperlink"/>
                <w:noProof/>
              </w:rPr>
              <w:t>Use Library</w:t>
            </w:r>
            <w:r>
              <w:rPr>
                <w:noProof/>
                <w:webHidden/>
              </w:rPr>
              <w:tab/>
            </w:r>
            <w:r>
              <w:rPr>
                <w:noProof/>
                <w:webHidden/>
              </w:rPr>
              <w:fldChar w:fldCharType="begin"/>
            </w:r>
            <w:r>
              <w:rPr>
                <w:noProof/>
                <w:webHidden/>
              </w:rPr>
              <w:instrText xml:space="preserve"> PAGEREF _Toc111327633 \h </w:instrText>
            </w:r>
            <w:r>
              <w:rPr>
                <w:noProof/>
                <w:webHidden/>
              </w:rPr>
            </w:r>
            <w:r>
              <w:rPr>
                <w:noProof/>
                <w:webHidden/>
              </w:rPr>
              <w:fldChar w:fldCharType="separate"/>
            </w:r>
            <w:r w:rsidR="00F92BDA">
              <w:rPr>
                <w:noProof/>
                <w:webHidden/>
              </w:rPr>
              <w:t>3</w:t>
            </w:r>
            <w:r>
              <w:rPr>
                <w:noProof/>
                <w:webHidden/>
              </w:rPr>
              <w:fldChar w:fldCharType="end"/>
            </w:r>
          </w:hyperlink>
        </w:p>
        <w:p w14:paraId="6558AB75" w14:textId="73A9DD4E" w:rsidR="00164546" w:rsidRDefault="0016454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4" w:history="1">
            <w:r w:rsidRPr="00220D61">
              <w:rPr>
                <w:rStyle w:val="Hyperlink"/>
                <w:noProof/>
              </w:rPr>
              <w:t>3.</w:t>
            </w:r>
            <w:r>
              <w:rPr>
                <w:rFonts w:asciiTheme="minorHAnsi" w:eastAsiaTheme="minorEastAsia" w:hAnsiTheme="minorHAnsi" w:cstheme="minorBidi"/>
                <w:noProof/>
                <w:snapToGrid/>
                <w:sz w:val="22"/>
                <w:szCs w:val="22"/>
              </w:rPr>
              <w:tab/>
            </w:r>
            <w:r w:rsidRPr="00220D61">
              <w:rPr>
                <w:rStyle w:val="Hyperlink"/>
                <w:noProof/>
              </w:rPr>
              <w:t>Use of information systems and services</w:t>
            </w:r>
            <w:r>
              <w:rPr>
                <w:noProof/>
                <w:webHidden/>
              </w:rPr>
              <w:tab/>
            </w:r>
            <w:r>
              <w:rPr>
                <w:noProof/>
                <w:webHidden/>
              </w:rPr>
              <w:fldChar w:fldCharType="begin"/>
            </w:r>
            <w:r>
              <w:rPr>
                <w:noProof/>
                <w:webHidden/>
              </w:rPr>
              <w:instrText xml:space="preserve"> PAGEREF _Toc111327634 \h </w:instrText>
            </w:r>
            <w:r>
              <w:rPr>
                <w:noProof/>
                <w:webHidden/>
              </w:rPr>
            </w:r>
            <w:r>
              <w:rPr>
                <w:noProof/>
                <w:webHidden/>
              </w:rPr>
              <w:fldChar w:fldCharType="separate"/>
            </w:r>
            <w:r w:rsidR="00F92BDA">
              <w:rPr>
                <w:noProof/>
                <w:webHidden/>
              </w:rPr>
              <w:t>4</w:t>
            </w:r>
            <w:r>
              <w:rPr>
                <w:noProof/>
                <w:webHidden/>
              </w:rPr>
              <w:fldChar w:fldCharType="end"/>
            </w:r>
          </w:hyperlink>
        </w:p>
        <w:p w14:paraId="15B692E1" w14:textId="518A1ADD" w:rsidR="00164546" w:rsidRDefault="0016454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5" w:history="1">
            <w:r w:rsidRPr="00220D61">
              <w:rPr>
                <w:rStyle w:val="Hyperlink"/>
                <w:noProof/>
              </w:rPr>
              <w:t>4.</w:t>
            </w:r>
            <w:r>
              <w:rPr>
                <w:rFonts w:asciiTheme="minorHAnsi" w:eastAsiaTheme="minorEastAsia" w:hAnsiTheme="minorHAnsi" w:cstheme="minorBidi"/>
                <w:noProof/>
                <w:snapToGrid/>
                <w:sz w:val="22"/>
                <w:szCs w:val="22"/>
              </w:rPr>
              <w:tab/>
            </w:r>
            <w:r w:rsidRPr="00220D61">
              <w:rPr>
                <w:rStyle w:val="Hyperlink"/>
                <w:noProof/>
              </w:rPr>
              <w:t>Infringement</w:t>
            </w:r>
            <w:r>
              <w:rPr>
                <w:noProof/>
                <w:webHidden/>
              </w:rPr>
              <w:tab/>
            </w:r>
            <w:r>
              <w:rPr>
                <w:noProof/>
                <w:webHidden/>
              </w:rPr>
              <w:fldChar w:fldCharType="begin"/>
            </w:r>
            <w:r>
              <w:rPr>
                <w:noProof/>
                <w:webHidden/>
              </w:rPr>
              <w:instrText xml:space="preserve"> PAGEREF _Toc111327635 \h </w:instrText>
            </w:r>
            <w:r>
              <w:rPr>
                <w:noProof/>
                <w:webHidden/>
              </w:rPr>
            </w:r>
            <w:r>
              <w:rPr>
                <w:noProof/>
                <w:webHidden/>
              </w:rPr>
              <w:fldChar w:fldCharType="separate"/>
            </w:r>
            <w:r w:rsidR="00F92BDA">
              <w:rPr>
                <w:noProof/>
                <w:webHidden/>
              </w:rPr>
              <w:t>5</w:t>
            </w:r>
            <w:r>
              <w:rPr>
                <w:noProof/>
                <w:webHidden/>
              </w:rPr>
              <w:fldChar w:fldCharType="end"/>
            </w:r>
          </w:hyperlink>
        </w:p>
        <w:p w14:paraId="4B42AB9E" w14:textId="182D8062" w:rsidR="00D30BE2" w:rsidRDefault="00D30BE2">
          <w:r>
            <w:rPr>
              <w:b/>
              <w:bCs/>
              <w:noProof/>
            </w:rPr>
            <w:fldChar w:fldCharType="end"/>
          </w:r>
        </w:p>
      </w:sdtContent>
    </w:sdt>
    <w:p w14:paraId="0957ADDD" w14:textId="77777777" w:rsidR="00D30BE2" w:rsidRDefault="00D30BE2">
      <w:pPr>
        <w:suppressAutoHyphens w:val="0"/>
        <w:spacing w:after="0" w:line="240" w:lineRule="auto"/>
        <w:rPr>
          <w:b/>
          <w:bCs/>
          <w:sz w:val="32"/>
          <w:szCs w:val="28"/>
        </w:rPr>
      </w:pPr>
      <w:r>
        <w:br w:type="page"/>
      </w:r>
    </w:p>
    <w:p w14:paraId="673CC501" w14:textId="2C8DE24B" w:rsidR="00D30BE2" w:rsidRPr="00813B21" w:rsidRDefault="00D30BE2" w:rsidP="00D30BE2">
      <w:pPr>
        <w:pStyle w:val="Heading1"/>
        <w:numPr>
          <w:ilvl w:val="0"/>
          <w:numId w:val="3"/>
        </w:numPr>
        <w:rPr>
          <w:szCs w:val="32"/>
        </w:rPr>
      </w:pPr>
      <w:bookmarkStart w:id="1" w:name="_Toc111327632"/>
      <w:r w:rsidRPr="00813B21">
        <w:rPr>
          <w:szCs w:val="32"/>
        </w:rPr>
        <w:t>Use of premises</w:t>
      </w:r>
      <w:bookmarkEnd w:id="1"/>
    </w:p>
    <w:p w14:paraId="5629BE77" w14:textId="77777777" w:rsidR="00BF523A" w:rsidRDefault="00BF523A" w:rsidP="00BF523A">
      <w:pPr>
        <w:pStyle w:val="ListParagraph"/>
        <w:numPr>
          <w:ilvl w:val="1"/>
          <w:numId w:val="3"/>
        </w:numPr>
      </w:pPr>
      <w:r>
        <w:t>No person shall enter or remain in or upon any part of the University Premises in or upon which they know or ought reasonably to know that they are not at that time entitled to be.</w:t>
      </w:r>
    </w:p>
    <w:p w14:paraId="1A7CCDCC" w14:textId="77777777" w:rsidR="00BF523A" w:rsidRDefault="00BF523A" w:rsidP="00BF523A">
      <w:pPr>
        <w:pStyle w:val="ListParagraph"/>
        <w:numPr>
          <w:ilvl w:val="1"/>
          <w:numId w:val="3"/>
        </w:numPr>
      </w:pPr>
      <w:r>
        <w:t>The Head of Estates Operations may publish additional rules and/or policies relating to the use of the University Premises (referred to in these regulations as the “Premises Rules”).</w:t>
      </w:r>
    </w:p>
    <w:p w14:paraId="40EFDA89" w14:textId="77777777" w:rsidR="00BF523A" w:rsidRDefault="00BF523A" w:rsidP="00BF523A">
      <w:pPr>
        <w:pStyle w:val="ListParagraph"/>
        <w:numPr>
          <w:ilvl w:val="1"/>
          <w:numId w:val="3"/>
        </w:numPr>
      </w:pPr>
      <w:r>
        <w:t>The Premises Rules may include (but are not limited to) provisions relating to:</w:t>
      </w:r>
    </w:p>
    <w:p w14:paraId="4C9F81ED" w14:textId="77777777" w:rsidR="00BF523A" w:rsidRDefault="00BF523A" w:rsidP="00BF523A">
      <w:pPr>
        <w:pStyle w:val="ListParagraph"/>
        <w:numPr>
          <w:ilvl w:val="2"/>
          <w:numId w:val="3"/>
        </w:numPr>
      </w:pPr>
      <w:r>
        <w:t>Opening hours of buildings;</w:t>
      </w:r>
    </w:p>
    <w:p w14:paraId="1E4837DE" w14:textId="61492E02" w:rsidR="00BF523A" w:rsidRDefault="00BF523A" w:rsidP="00BF523A">
      <w:pPr>
        <w:pStyle w:val="ListParagraph"/>
        <w:numPr>
          <w:ilvl w:val="2"/>
          <w:numId w:val="3"/>
        </w:numPr>
      </w:pPr>
      <w:r>
        <w:t>processes, protocols and conditions for certain types of use (for example, but without limitation: booking meeting rooms; internally or externally organised events (including any charges); non-University activities on the Premises (</w:t>
      </w:r>
      <w:r w:rsidR="00E52E67">
        <w:t>e.g.,</w:t>
      </w:r>
      <w:r>
        <w:t xml:space="preserve"> charity collections or commercial activities); display of notices, posters, or marketing material; hot works or other work on the fabric of the buildings </w:t>
      </w:r>
      <w:r w:rsidR="00714AC8">
        <w:t>etc.</w:t>
      </w:r>
      <w:r>
        <w:t>)</w:t>
      </w:r>
    </w:p>
    <w:p w14:paraId="53940029" w14:textId="77777777" w:rsidR="00BF523A" w:rsidRDefault="00BF523A" w:rsidP="00BF523A">
      <w:pPr>
        <w:pStyle w:val="ListParagraph"/>
        <w:numPr>
          <w:ilvl w:val="2"/>
          <w:numId w:val="3"/>
        </w:numPr>
      </w:pPr>
      <w:r>
        <w:t>items that are not permitted on the Premises;</w:t>
      </w:r>
    </w:p>
    <w:p w14:paraId="6FD70DCB" w14:textId="77777777" w:rsidR="00BF523A" w:rsidRDefault="00BF523A" w:rsidP="00BF523A">
      <w:pPr>
        <w:pStyle w:val="ListParagraph"/>
        <w:numPr>
          <w:ilvl w:val="2"/>
          <w:numId w:val="3"/>
        </w:numPr>
      </w:pPr>
      <w:r>
        <w:t>children on University Premises; and</w:t>
      </w:r>
    </w:p>
    <w:p w14:paraId="283909FA" w14:textId="77777777" w:rsidR="00BF523A" w:rsidRDefault="00BF523A" w:rsidP="00BF523A">
      <w:pPr>
        <w:pStyle w:val="ListParagraph"/>
        <w:numPr>
          <w:ilvl w:val="2"/>
          <w:numId w:val="3"/>
        </w:numPr>
      </w:pPr>
      <w:r>
        <w:t xml:space="preserve">the bringing of animals or vehicles (including bicycles) on to University Premises. </w:t>
      </w:r>
    </w:p>
    <w:p w14:paraId="2F407E95" w14:textId="77777777" w:rsidR="00BF523A" w:rsidRDefault="00BF523A" w:rsidP="00BF523A">
      <w:pPr>
        <w:pStyle w:val="ListParagraph"/>
        <w:numPr>
          <w:ilvl w:val="1"/>
          <w:numId w:val="3"/>
        </w:numPr>
      </w:pPr>
      <w:r>
        <w:t>The Head of Estates Operations shall take reasonable steps to ensure that the Premises Rules, as amended from time to time, are brought to the notice of all students and other persons on the Premises.</w:t>
      </w:r>
    </w:p>
    <w:p w14:paraId="5844EDE6" w14:textId="77777777" w:rsidR="00BF523A" w:rsidRDefault="00BF523A" w:rsidP="00BF523A">
      <w:pPr>
        <w:pStyle w:val="ListParagraph"/>
        <w:numPr>
          <w:ilvl w:val="1"/>
          <w:numId w:val="3"/>
        </w:numPr>
      </w:pPr>
      <w:r>
        <w:t>All persons on the Premises must comply with this regulation 1, the Premises Rules and any reasonable direction (whether given generally or specifically) given by the Head of Estates Operations or their nominees regarding the use of the University Premises.</w:t>
      </w:r>
    </w:p>
    <w:p w14:paraId="7126CC35" w14:textId="35A6DE61" w:rsidR="00164546" w:rsidRPr="00597174" w:rsidRDefault="00BF523A" w:rsidP="00164546">
      <w:pPr>
        <w:pStyle w:val="Heading1"/>
        <w:numPr>
          <w:ilvl w:val="0"/>
          <w:numId w:val="3"/>
        </w:numPr>
        <w:rPr>
          <w:szCs w:val="32"/>
        </w:rPr>
      </w:pPr>
      <w:bookmarkStart w:id="2" w:name="_Toc111327633"/>
      <w:r w:rsidRPr="00597174">
        <w:rPr>
          <w:szCs w:val="32"/>
        </w:rPr>
        <w:t xml:space="preserve">Use </w:t>
      </w:r>
      <w:r w:rsidR="00164546" w:rsidRPr="00597174">
        <w:rPr>
          <w:szCs w:val="32"/>
        </w:rPr>
        <w:t xml:space="preserve">of </w:t>
      </w:r>
      <w:r w:rsidRPr="00597174">
        <w:rPr>
          <w:szCs w:val="32"/>
        </w:rPr>
        <w:t>Librar</w:t>
      </w:r>
      <w:bookmarkEnd w:id="2"/>
      <w:r w:rsidR="00164546" w:rsidRPr="00597174">
        <w:rPr>
          <w:szCs w:val="32"/>
        </w:rPr>
        <w:t>ies</w:t>
      </w:r>
      <w:r w:rsidR="5EB7CD3B" w:rsidRPr="00597174">
        <w:rPr>
          <w:szCs w:val="32"/>
        </w:rPr>
        <w:t xml:space="preserve"> and the Special Collections Reading Room</w:t>
      </w:r>
    </w:p>
    <w:p w14:paraId="358CE6F2" w14:textId="77777777" w:rsidR="00BF523A" w:rsidRDefault="00BF523A" w:rsidP="00BF523A">
      <w:pPr>
        <w:pStyle w:val="ListParagraph"/>
        <w:numPr>
          <w:ilvl w:val="1"/>
          <w:numId w:val="3"/>
        </w:numPr>
      </w:pPr>
      <w:r>
        <w:t>Only the following may use the University’s libraries and their resources (including online resources) (“the Libraries”):</w:t>
      </w:r>
    </w:p>
    <w:p w14:paraId="7984B08C" w14:textId="77777777" w:rsidR="00BF523A" w:rsidRDefault="00BF523A" w:rsidP="00BF523A">
      <w:pPr>
        <w:pStyle w:val="ListParagraph"/>
        <w:numPr>
          <w:ilvl w:val="2"/>
          <w:numId w:val="3"/>
        </w:numPr>
      </w:pPr>
      <w:r>
        <w:t>enrolled students (this does not include students who have taken a break in studies or who are excluded from the University);</w:t>
      </w:r>
    </w:p>
    <w:p w14:paraId="7275D481" w14:textId="77777777" w:rsidR="00BF523A" w:rsidRDefault="00BF523A" w:rsidP="00BF523A">
      <w:pPr>
        <w:pStyle w:val="ListParagraph"/>
        <w:numPr>
          <w:ilvl w:val="2"/>
          <w:numId w:val="3"/>
        </w:numPr>
      </w:pPr>
      <w:r>
        <w:t>members of University staff;</w:t>
      </w:r>
    </w:p>
    <w:p w14:paraId="2D665D90" w14:textId="77777777" w:rsidR="00BF523A" w:rsidRDefault="00BF523A" w:rsidP="00BF523A">
      <w:pPr>
        <w:pStyle w:val="ListParagraph"/>
        <w:numPr>
          <w:ilvl w:val="2"/>
          <w:numId w:val="3"/>
        </w:numPr>
      </w:pPr>
      <w:r>
        <w:t xml:space="preserve">such other categories of individuals whom the University Librarian may from time to time approve; </w:t>
      </w:r>
    </w:p>
    <w:p w14:paraId="4B202B2A" w14:textId="77777777" w:rsidR="00BF523A" w:rsidRDefault="00BF523A" w:rsidP="00BF523A">
      <w:pPr>
        <w:pStyle w:val="ListParagraph"/>
        <w:numPr>
          <w:ilvl w:val="2"/>
          <w:numId w:val="3"/>
        </w:numPr>
      </w:pPr>
      <w:r>
        <w:t>External users and those undertaking reciprocal schemes.</w:t>
      </w:r>
    </w:p>
    <w:p w14:paraId="2C24B989" w14:textId="7EAAB9F5" w:rsidR="00BF523A" w:rsidRDefault="00BF523A" w:rsidP="00BF523A">
      <w:pPr>
        <w:pStyle w:val="ListParagraph"/>
        <w:numPr>
          <w:ilvl w:val="1"/>
          <w:numId w:val="3"/>
        </w:numPr>
      </w:pPr>
      <w:r>
        <w:t>Any permission or approval given pursuant to regulation 2.1 may be revoked or withdrawn at any time.</w:t>
      </w:r>
    </w:p>
    <w:p w14:paraId="17EE76FE" w14:textId="77777777" w:rsidR="00BF523A" w:rsidRDefault="00BF523A" w:rsidP="00BF523A">
      <w:pPr>
        <w:pStyle w:val="ListParagraph"/>
        <w:numPr>
          <w:ilvl w:val="1"/>
          <w:numId w:val="3"/>
        </w:numPr>
      </w:pPr>
      <w:r>
        <w:t>Additional policies, rules and provisions relating to the use of the Libraries shall be published from time to time by the University Librarian (referred to in these regulations as the “Library Code”).</w:t>
      </w:r>
    </w:p>
    <w:p w14:paraId="3257A6EC" w14:textId="13C781DC" w:rsidR="00BF523A" w:rsidRDefault="00BF523A" w:rsidP="00BF523A">
      <w:pPr>
        <w:pStyle w:val="ListParagraph"/>
        <w:numPr>
          <w:ilvl w:val="1"/>
          <w:numId w:val="3"/>
        </w:numPr>
      </w:pPr>
      <w:r>
        <w:t xml:space="preserve">The Library Code may include (but </w:t>
      </w:r>
      <w:r w:rsidR="00500876">
        <w:t xml:space="preserve">is </w:t>
      </w:r>
      <w:r>
        <w:t>not limited to) provisions relating to:</w:t>
      </w:r>
    </w:p>
    <w:p w14:paraId="67AB6B7F" w14:textId="35D77827" w:rsidR="00BF523A" w:rsidRDefault="00BF523A" w:rsidP="00BF523A">
      <w:pPr>
        <w:pStyle w:val="ListParagraph"/>
        <w:numPr>
          <w:ilvl w:val="2"/>
          <w:numId w:val="3"/>
        </w:numPr>
      </w:pPr>
      <w:r>
        <w:t>The services and resources</w:t>
      </w:r>
      <w:r w:rsidR="00D436A9">
        <w:t>, including e-resource licence agreements,</w:t>
      </w:r>
      <w:r>
        <w:t xml:space="preserve"> available to various categories of person;</w:t>
      </w:r>
    </w:p>
    <w:p w14:paraId="3647D715" w14:textId="4B4A6BEC" w:rsidR="00BF523A" w:rsidRDefault="00BF523A" w:rsidP="00BF523A">
      <w:pPr>
        <w:pStyle w:val="ListParagraph"/>
        <w:numPr>
          <w:ilvl w:val="2"/>
          <w:numId w:val="3"/>
        </w:numPr>
      </w:pPr>
      <w:r>
        <w:t xml:space="preserve">Charges for use of the Libraries (including charges for </w:t>
      </w:r>
      <w:r w:rsidR="00D436A9">
        <w:t>lost</w:t>
      </w:r>
      <w:r w:rsidR="00C4437A">
        <w:t xml:space="preserve">, </w:t>
      </w:r>
      <w:r>
        <w:t xml:space="preserve">late return or non-return of </w:t>
      </w:r>
      <w:r w:rsidR="00C4437A">
        <w:t xml:space="preserve">reserved </w:t>
      </w:r>
      <w:r>
        <w:t>items); and</w:t>
      </w:r>
    </w:p>
    <w:p w14:paraId="7D130256" w14:textId="77777777" w:rsidR="00BF523A" w:rsidRDefault="00BF523A" w:rsidP="00BF523A">
      <w:pPr>
        <w:pStyle w:val="ListParagraph"/>
        <w:numPr>
          <w:ilvl w:val="2"/>
          <w:numId w:val="3"/>
        </w:numPr>
      </w:pPr>
      <w:r>
        <w:t>Conduct when using the Libraries.</w:t>
      </w:r>
    </w:p>
    <w:p w14:paraId="5D4DA8E8" w14:textId="77777777" w:rsidR="00BF523A" w:rsidRDefault="00BF523A" w:rsidP="00BF523A">
      <w:pPr>
        <w:pStyle w:val="ListParagraph"/>
        <w:numPr>
          <w:ilvl w:val="1"/>
          <w:numId w:val="3"/>
        </w:numPr>
      </w:pPr>
      <w:r>
        <w:t>The University Librarian shall take reasonable steps to ensure that the Library Code, as amended from time to time, is brought to the notice of all users of the Libraries.</w:t>
      </w:r>
    </w:p>
    <w:p w14:paraId="0755BC4E" w14:textId="1D8CF47D" w:rsidR="00BF523A" w:rsidRDefault="00BF523A" w:rsidP="1CF119D5">
      <w:pPr>
        <w:pStyle w:val="ListParagraph"/>
      </w:pPr>
      <w:r>
        <w:t xml:space="preserve">All persons using the Libraries must comply with these regulations, the Library </w:t>
      </w:r>
      <w:r w:rsidR="00293230">
        <w:t xml:space="preserve">   </w:t>
      </w:r>
      <w:r>
        <w:t>Code and any reasonable direction (whether given generally or specifically) given by the University Librarian or their nominees regarding the use of the Libraries.</w:t>
      </w:r>
    </w:p>
    <w:p w14:paraId="236B83C0" w14:textId="309DACF0" w:rsidR="00BF523A" w:rsidRDefault="7D0C0FC3" w:rsidP="00A65BA2">
      <w:pPr>
        <w:pStyle w:val="ListParagraph"/>
        <w:numPr>
          <w:ilvl w:val="0"/>
          <w:numId w:val="3"/>
        </w:numPr>
      </w:pPr>
      <w:r w:rsidRPr="1CF119D5">
        <w:t xml:space="preserve">No food or drink is allowed in the Special Collections Reading </w:t>
      </w:r>
      <w:r w:rsidRPr="6B5E4AB3">
        <w:t>Room</w:t>
      </w:r>
      <w:r w:rsidRPr="1CF119D5">
        <w:t xml:space="preserve"> to prevent damage to </w:t>
      </w:r>
      <w:r w:rsidR="2D022272" w:rsidRPr="3288732F">
        <w:t xml:space="preserve">irreplaceable </w:t>
      </w:r>
      <w:r w:rsidRPr="3288732F">
        <w:t>archival</w:t>
      </w:r>
      <w:r w:rsidRPr="1CF119D5">
        <w:t xml:space="preserve"> materials and rare books. </w:t>
      </w:r>
      <w:r w:rsidRPr="197463C8">
        <w:t xml:space="preserve">For more information, see </w:t>
      </w:r>
      <w:r w:rsidR="5D0E476D" w:rsidRPr="197463C8">
        <w:t>our</w:t>
      </w:r>
      <w:r w:rsidR="00D30ADA">
        <w:t xml:space="preserve"> </w:t>
      </w:r>
      <w:hyperlink r:id="rId12" w:anchor="s-lib-ctab-16393629-1" w:history="1">
        <w:r w:rsidR="00A65BA2" w:rsidRPr="00A65BA2">
          <w:rPr>
            <w:rStyle w:val="Hyperlink"/>
          </w:rPr>
          <w:t>guide to visiting the Special Collections Reading Room.</w:t>
        </w:r>
      </w:hyperlink>
      <w:r w:rsidR="5D0E476D" w:rsidRPr="197463C8">
        <w:t xml:space="preserve"> </w:t>
      </w:r>
      <w:bookmarkStart w:id="3" w:name="_Toc111327634"/>
      <w:r w:rsidR="00BF523A">
        <w:t>Use of information systems and services</w:t>
      </w:r>
      <w:bookmarkEnd w:id="3"/>
    </w:p>
    <w:p w14:paraId="73711A9B" w14:textId="77777777" w:rsidR="00BF523A" w:rsidRDefault="00BF523A" w:rsidP="00BF523A">
      <w:pPr>
        <w:pStyle w:val="ListParagraph"/>
        <w:numPr>
          <w:ilvl w:val="1"/>
          <w:numId w:val="3"/>
        </w:numPr>
      </w:pPr>
      <w:r>
        <w:t>The University’s computer facilities and access to its computer networks (“ITS Facilities”) are provided only for purposes directly connected with the work of the University and with the normal academic activities of its students and staff. No person has any right to use the ITS Facilities for any other purpose. However, the Director of Information and Technology Services may publish a policy permitting reasonable personal use, subject to any conditions they consider appropriate.</w:t>
      </w:r>
    </w:p>
    <w:p w14:paraId="55169582" w14:textId="0E5CA605" w:rsidR="00BF523A" w:rsidRDefault="00BF523A" w:rsidP="5DCE2DAB">
      <w:pPr>
        <w:pStyle w:val="ListParagraph"/>
      </w:pPr>
      <w:r>
        <w:t xml:space="preserve">The Director of Information Technology Services may publish additional rules and/or policies relating to the use of ITS Facilities (referred to in these regulations as the </w:t>
      </w:r>
      <w:r w:rsidR="791CE0D7">
        <w:t>‘</w:t>
      </w:r>
      <w:r w:rsidR="2DD8171D">
        <w:t>Information Management Policy Framework</w:t>
      </w:r>
      <w:r w:rsidR="318C375A">
        <w:t>’</w:t>
      </w:r>
      <w:r w:rsidR="2DD8171D">
        <w:t xml:space="preserve"> </w:t>
      </w:r>
      <w:r>
        <w:t>).</w:t>
      </w:r>
    </w:p>
    <w:p w14:paraId="5E7276F7" w14:textId="75BAE785" w:rsidR="00BF523A" w:rsidRDefault="00BF523A" w:rsidP="57EB394E">
      <w:pPr>
        <w:pStyle w:val="ListParagraph"/>
      </w:pPr>
      <w:r>
        <w:t xml:space="preserve">The  </w:t>
      </w:r>
      <w:r w:rsidR="00A50178">
        <w:t>Information</w:t>
      </w:r>
      <w:r w:rsidR="4D14670A">
        <w:t xml:space="preserve"> Management Policy Framework </w:t>
      </w:r>
      <w:r>
        <w:t xml:space="preserve"> may include (but </w:t>
      </w:r>
      <w:r w:rsidR="1DD3F739">
        <w:t xml:space="preserve">is </w:t>
      </w:r>
      <w:r>
        <w:t xml:space="preserve"> not limited to) provisions relating to:</w:t>
      </w:r>
    </w:p>
    <w:p w14:paraId="684ABA4B" w14:textId="77777777" w:rsidR="00BF523A" w:rsidRDefault="00BF523A" w:rsidP="00BF523A">
      <w:pPr>
        <w:pStyle w:val="ListParagraph"/>
        <w:numPr>
          <w:ilvl w:val="2"/>
          <w:numId w:val="3"/>
        </w:numPr>
      </w:pPr>
      <w:r>
        <w:t>General conditions of use and expected behaviour when using ITS Facilities;</w:t>
      </w:r>
    </w:p>
    <w:p w14:paraId="15D9C3EA" w14:textId="77777777" w:rsidR="00BF523A" w:rsidRDefault="00BF523A" w:rsidP="00BF523A">
      <w:pPr>
        <w:pStyle w:val="ListParagraph"/>
        <w:numPr>
          <w:ilvl w:val="2"/>
          <w:numId w:val="3"/>
        </w:numPr>
      </w:pPr>
      <w:r>
        <w:t>processes, protocols and conditions for certain types of use of ITS Facilities; and</w:t>
      </w:r>
    </w:p>
    <w:p w14:paraId="5E3D945D" w14:textId="77777777" w:rsidR="00BF523A" w:rsidRDefault="00BF523A" w:rsidP="00BF523A">
      <w:pPr>
        <w:pStyle w:val="ListParagraph"/>
        <w:numPr>
          <w:ilvl w:val="2"/>
          <w:numId w:val="3"/>
        </w:numPr>
      </w:pPr>
      <w:r>
        <w:t xml:space="preserve">monitoring the use of ITS Facilities. </w:t>
      </w:r>
    </w:p>
    <w:p w14:paraId="7B71A200" w14:textId="1AE44109" w:rsidR="00BF523A" w:rsidRDefault="00BF523A" w:rsidP="61DFD253">
      <w:pPr>
        <w:pStyle w:val="ListParagraph"/>
      </w:pPr>
      <w:r>
        <w:t xml:space="preserve">The Director of Information Technology Services shall take reasonable steps to ensure that the </w:t>
      </w:r>
      <w:r w:rsidR="7572B379">
        <w:t xml:space="preserve">Information Management Policy Framework </w:t>
      </w:r>
      <w:r>
        <w:t xml:space="preserve">, as amended from time to time, </w:t>
      </w:r>
      <w:r w:rsidR="1FEF0BFD">
        <w:t xml:space="preserve">is </w:t>
      </w:r>
      <w:r>
        <w:t xml:space="preserve"> brought to the notice of all users of ITS Facilities.</w:t>
      </w:r>
    </w:p>
    <w:p w14:paraId="5160E19F" w14:textId="216464A1" w:rsidR="00BF523A" w:rsidRDefault="00BF523A" w:rsidP="57C23E78">
      <w:pPr>
        <w:pStyle w:val="ListParagraph"/>
      </w:pPr>
      <w:r>
        <w:t xml:space="preserve">All persons using ITS Facilities must comply with </w:t>
      </w:r>
      <w:r w:rsidR="0591E48C">
        <w:t xml:space="preserve">the </w:t>
      </w:r>
      <w:r w:rsidR="4FDC67BA">
        <w:t>Information Management Policy Framework</w:t>
      </w:r>
      <w:r>
        <w:t xml:space="preserve"> </w:t>
      </w:r>
      <w:r w:rsidR="4FDC67BA">
        <w:t>that incl</w:t>
      </w:r>
      <w:r w:rsidR="5AA93E03">
        <w:t>udes</w:t>
      </w:r>
      <w:r>
        <w:t xml:space="preserve"> </w:t>
      </w:r>
      <w:r w:rsidR="00A641D0">
        <w:t>, Acceptable Use Policy, IT Security Policy</w:t>
      </w:r>
      <w:r w:rsidR="40E407B2">
        <w:t>.</w:t>
      </w:r>
      <w:r w:rsidR="00A641D0">
        <w:t xml:space="preserve"> </w:t>
      </w:r>
      <w:r w:rsidR="40E407B2">
        <w:t>IT Equipment Policy, Software Policy,</w:t>
      </w:r>
      <w:r w:rsidR="00A641D0">
        <w:t xml:space="preserve"> </w:t>
      </w:r>
      <w:r w:rsidR="40E407B2">
        <w:t>Records Management Policy</w:t>
      </w:r>
      <w:r w:rsidR="00A641D0">
        <w:t xml:space="preserve"> </w:t>
      </w:r>
      <w:r w:rsidR="40E407B2">
        <w:t>and Data Protection Policy.</w:t>
      </w:r>
      <w:r w:rsidR="00A641D0">
        <w:t xml:space="preserve">  </w:t>
      </w:r>
      <w:r>
        <w:t>and any reasonable direction (whether given generally or specifically) given by the Director of Information Technology Services or their nominees regarding the use of ITS Facilities.</w:t>
      </w:r>
    </w:p>
    <w:p w14:paraId="55717F5E" w14:textId="413F4AA4" w:rsidR="00BF523A" w:rsidRPr="00597174" w:rsidRDefault="00BF523A" w:rsidP="00BF523A">
      <w:pPr>
        <w:pStyle w:val="Heading1"/>
        <w:numPr>
          <w:ilvl w:val="0"/>
          <w:numId w:val="3"/>
        </w:numPr>
        <w:rPr>
          <w:szCs w:val="32"/>
        </w:rPr>
      </w:pPr>
      <w:bookmarkStart w:id="4" w:name="_Toc111327635"/>
      <w:r w:rsidRPr="00597174">
        <w:rPr>
          <w:szCs w:val="32"/>
        </w:rPr>
        <w:t>Infringement</w:t>
      </w:r>
      <w:bookmarkEnd w:id="4"/>
    </w:p>
    <w:p w14:paraId="37E476AB" w14:textId="34C1B789" w:rsidR="00164546" w:rsidRDefault="00164546" w:rsidP="00164546">
      <w:pPr>
        <w:pStyle w:val="ListParagraph"/>
        <w:numPr>
          <w:ilvl w:val="1"/>
          <w:numId w:val="3"/>
        </w:numPr>
      </w:pPr>
      <w:r>
        <w:t>Any infringement or attempted infringement of these regulations or any rules or policies adopted pursuant to or published in accordance with these regulations shall be considered misconduct under the relevant disciplinary procedures of the University (for example, the Student Conduct policy), unless otherwise dealt with by any such rules or policies.</w:t>
      </w:r>
    </w:p>
    <w:p w14:paraId="52A96200" w14:textId="592763D3" w:rsidR="00164546" w:rsidRDefault="00164546" w:rsidP="00164546">
      <w:pPr>
        <w:pStyle w:val="ListParagraph"/>
        <w:numPr>
          <w:ilvl w:val="1"/>
          <w:numId w:val="3"/>
        </w:numPr>
      </w:pPr>
      <w:r>
        <w:t xml:space="preserve">Access to particular facilities may be withdrawn by the relevant Head or Director of Service with the consent of the University Secretary pending disciplinary </w:t>
      </w:r>
      <w:r w:rsidR="00E52E67">
        <w:t>action or</w:t>
      </w:r>
      <w:r>
        <w:t xml:space="preserve"> may be made subject to such conditions as the relevant Head or Director of Service, with the consent of the University Secretary, considers appropriate to impose in the circumstances.</w:t>
      </w:r>
    </w:p>
    <w:p w14:paraId="5A2F124A" w14:textId="2EB49DCE" w:rsidR="00D30BE2" w:rsidRPr="00D30BE2" w:rsidRDefault="00D30BE2" w:rsidP="00164546"/>
    <w:sectPr w:rsidR="00D30BE2" w:rsidRPr="00D30BE2" w:rsidSect="005B3AE2">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D849D" w14:textId="77777777" w:rsidR="00613D6F" w:rsidRDefault="00613D6F">
      <w:r>
        <w:separator/>
      </w:r>
    </w:p>
  </w:endnote>
  <w:endnote w:type="continuationSeparator" w:id="0">
    <w:p w14:paraId="658C425F" w14:textId="77777777" w:rsidR="00613D6F" w:rsidRDefault="00613D6F">
      <w:r>
        <w:continuationSeparator/>
      </w:r>
    </w:p>
  </w:endnote>
  <w:endnote w:type="continuationNotice" w:id="1">
    <w:p w14:paraId="04813FA6" w14:textId="77777777" w:rsidR="00613D6F" w:rsidRDefault="00613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BDC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1DFB"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6AF8" w14:textId="77777777" w:rsidR="00613D6F" w:rsidRDefault="00613D6F">
      <w:r>
        <w:separator/>
      </w:r>
    </w:p>
  </w:footnote>
  <w:footnote w:type="continuationSeparator" w:id="0">
    <w:p w14:paraId="70610E65" w14:textId="77777777" w:rsidR="00613D6F" w:rsidRDefault="00613D6F">
      <w:r>
        <w:continuationSeparator/>
      </w:r>
    </w:p>
  </w:footnote>
  <w:footnote w:type="continuationNotice" w:id="1">
    <w:p w14:paraId="7326672A" w14:textId="77777777" w:rsidR="00613D6F" w:rsidRDefault="00613D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363B"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68EEAD00" wp14:editId="276FBF21">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246075"/>
    <w:multiLevelType w:val="multilevel"/>
    <w:tmpl w:val="0234E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80782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E2"/>
    <w:rsid w:val="00004FBD"/>
    <w:rsid w:val="00005A4A"/>
    <w:rsid w:val="00013CC9"/>
    <w:rsid w:val="00017D1D"/>
    <w:rsid w:val="00030AD5"/>
    <w:rsid w:val="00031648"/>
    <w:rsid w:val="000326A4"/>
    <w:rsid w:val="000421B5"/>
    <w:rsid w:val="00045B45"/>
    <w:rsid w:val="00062473"/>
    <w:rsid w:val="0006571B"/>
    <w:rsid w:val="0006700B"/>
    <w:rsid w:val="000767F0"/>
    <w:rsid w:val="00081620"/>
    <w:rsid w:val="0009591C"/>
    <w:rsid w:val="0009732C"/>
    <w:rsid w:val="000A030A"/>
    <w:rsid w:val="000A78EE"/>
    <w:rsid w:val="000B2695"/>
    <w:rsid w:val="000C3399"/>
    <w:rsid w:val="000C38F5"/>
    <w:rsid w:val="000C4A72"/>
    <w:rsid w:val="000D61AE"/>
    <w:rsid w:val="000E1C6C"/>
    <w:rsid w:val="000E6EA6"/>
    <w:rsid w:val="000F29B7"/>
    <w:rsid w:val="000F4214"/>
    <w:rsid w:val="00100789"/>
    <w:rsid w:val="00104859"/>
    <w:rsid w:val="001050C3"/>
    <w:rsid w:val="00106E2D"/>
    <w:rsid w:val="001203DC"/>
    <w:rsid w:val="00122CA8"/>
    <w:rsid w:val="00130E69"/>
    <w:rsid w:val="00132C17"/>
    <w:rsid w:val="00136357"/>
    <w:rsid w:val="00144D93"/>
    <w:rsid w:val="00146B09"/>
    <w:rsid w:val="001565E1"/>
    <w:rsid w:val="00161B5F"/>
    <w:rsid w:val="00164546"/>
    <w:rsid w:val="001714C6"/>
    <w:rsid w:val="00172B5C"/>
    <w:rsid w:val="00185F98"/>
    <w:rsid w:val="00192026"/>
    <w:rsid w:val="00192AD6"/>
    <w:rsid w:val="001A373A"/>
    <w:rsid w:val="001C075E"/>
    <w:rsid w:val="001C7806"/>
    <w:rsid w:val="001F053A"/>
    <w:rsid w:val="001F3FB4"/>
    <w:rsid w:val="001F62F9"/>
    <w:rsid w:val="00200039"/>
    <w:rsid w:val="00202197"/>
    <w:rsid w:val="00205100"/>
    <w:rsid w:val="0021292A"/>
    <w:rsid w:val="00213FAB"/>
    <w:rsid w:val="0022324B"/>
    <w:rsid w:val="00233995"/>
    <w:rsid w:val="00235833"/>
    <w:rsid w:val="00236141"/>
    <w:rsid w:val="002361A5"/>
    <w:rsid w:val="0026551C"/>
    <w:rsid w:val="00267DCE"/>
    <w:rsid w:val="002763E3"/>
    <w:rsid w:val="00281B07"/>
    <w:rsid w:val="002873B4"/>
    <w:rsid w:val="00293230"/>
    <w:rsid w:val="0029421F"/>
    <w:rsid w:val="002A73EB"/>
    <w:rsid w:val="002B4A5C"/>
    <w:rsid w:val="002B68EA"/>
    <w:rsid w:val="002C592D"/>
    <w:rsid w:val="002D42E1"/>
    <w:rsid w:val="002E4521"/>
    <w:rsid w:val="002E58E4"/>
    <w:rsid w:val="002F2F36"/>
    <w:rsid w:val="002F5AA1"/>
    <w:rsid w:val="00302303"/>
    <w:rsid w:val="003112FF"/>
    <w:rsid w:val="00313B5D"/>
    <w:rsid w:val="00315128"/>
    <w:rsid w:val="003200A4"/>
    <w:rsid w:val="00337361"/>
    <w:rsid w:val="00350E2C"/>
    <w:rsid w:val="0035132B"/>
    <w:rsid w:val="00360738"/>
    <w:rsid w:val="00361928"/>
    <w:rsid w:val="0036280D"/>
    <w:rsid w:val="0037281D"/>
    <w:rsid w:val="00375A7A"/>
    <w:rsid w:val="003767D4"/>
    <w:rsid w:val="00384664"/>
    <w:rsid w:val="0038694C"/>
    <w:rsid w:val="003919E0"/>
    <w:rsid w:val="00395800"/>
    <w:rsid w:val="003A43D2"/>
    <w:rsid w:val="003B2315"/>
    <w:rsid w:val="003B7B14"/>
    <w:rsid w:val="003D531C"/>
    <w:rsid w:val="003E16AB"/>
    <w:rsid w:val="003E3BE5"/>
    <w:rsid w:val="003F005C"/>
    <w:rsid w:val="003F3CCA"/>
    <w:rsid w:val="004011E1"/>
    <w:rsid w:val="00402235"/>
    <w:rsid w:val="0041267C"/>
    <w:rsid w:val="00420823"/>
    <w:rsid w:val="0042426C"/>
    <w:rsid w:val="004242FD"/>
    <w:rsid w:val="00432183"/>
    <w:rsid w:val="0043352D"/>
    <w:rsid w:val="004339AB"/>
    <w:rsid w:val="00450828"/>
    <w:rsid w:val="0045303A"/>
    <w:rsid w:val="004676DA"/>
    <w:rsid w:val="0047520A"/>
    <w:rsid w:val="00477511"/>
    <w:rsid w:val="00482759"/>
    <w:rsid w:val="00484600"/>
    <w:rsid w:val="00491B38"/>
    <w:rsid w:val="004925FB"/>
    <w:rsid w:val="0049486A"/>
    <w:rsid w:val="004A6F92"/>
    <w:rsid w:val="004B1676"/>
    <w:rsid w:val="004B6044"/>
    <w:rsid w:val="004B65B4"/>
    <w:rsid w:val="004B7F46"/>
    <w:rsid w:val="004C09ED"/>
    <w:rsid w:val="004C441C"/>
    <w:rsid w:val="004D10CA"/>
    <w:rsid w:val="004E2690"/>
    <w:rsid w:val="004E40B4"/>
    <w:rsid w:val="004E4A42"/>
    <w:rsid w:val="004E56BE"/>
    <w:rsid w:val="00500876"/>
    <w:rsid w:val="00504C0D"/>
    <w:rsid w:val="00506925"/>
    <w:rsid w:val="0052494F"/>
    <w:rsid w:val="00526B2D"/>
    <w:rsid w:val="00531370"/>
    <w:rsid w:val="005425C0"/>
    <w:rsid w:val="00543840"/>
    <w:rsid w:val="005448A9"/>
    <w:rsid w:val="005506C7"/>
    <w:rsid w:val="00560390"/>
    <w:rsid w:val="00562342"/>
    <w:rsid w:val="00563CE7"/>
    <w:rsid w:val="005863FE"/>
    <w:rsid w:val="005945A3"/>
    <w:rsid w:val="00597174"/>
    <w:rsid w:val="005A4627"/>
    <w:rsid w:val="005A693C"/>
    <w:rsid w:val="005B3AE2"/>
    <w:rsid w:val="005B4F8F"/>
    <w:rsid w:val="005F2CD2"/>
    <w:rsid w:val="005F32FB"/>
    <w:rsid w:val="005F7126"/>
    <w:rsid w:val="00603DE8"/>
    <w:rsid w:val="00605C59"/>
    <w:rsid w:val="00613D6F"/>
    <w:rsid w:val="00614E21"/>
    <w:rsid w:val="00615090"/>
    <w:rsid w:val="00616817"/>
    <w:rsid w:val="00624ABC"/>
    <w:rsid w:val="00632AEB"/>
    <w:rsid w:val="006341BE"/>
    <w:rsid w:val="0065784B"/>
    <w:rsid w:val="00663413"/>
    <w:rsid w:val="0066577D"/>
    <w:rsid w:val="00671BD1"/>
    <w:rsid w:val="00676313"/>
    <w:rsid w:val="006A0CD9"/>
    <w:rsid w:val="006A24EC"/>
    <w:rsid w:val="006B70B7"/>
    <w:rsid w:val="006C6E18"/>
    <w:rsid w:val="006C772F"/>
    <w:rsid w:val="006D6C57"/>
    <w:rsid w:val="006E074F"/>
    <w:rsid w:val="006E130C"/>
    <w:rsid w:val="006E7217"/>
    <w:rsid w:val="006F16B9"/>
    <w:rsid w:val="00701A54"/>
    <w:rsid w:val="00713EE1"/>
    <w:rsid w:val="00714AC8"/>
    <w:rsid w:val="00717114"/>
    <w:rsid w:val="00721696"/>
    <w:rsid w:val="0074365F"/>
    <w:rsid w:val="0074397E"/>
    <w:rsid w:val="00743C0A"/>
    <w:rsid w:val="007475CC"/>
    <w:rsid w:val="00750CFF"/>
    <w:rsid w:val="00760526"/>
    <w:rsid w:val="00765A0E"/>
    <w:rsid w:val="00773A4F"/>
    <w:rsid w:val="00776464"/>
    <w:rsid w:val="0077744A"/>
    <w:rsid w:val="00777BEE"/>
    <w:rsid w:val="0078137D"/>
    <w:rsid w:val="00792105"/>
    <w:rsid w:val="00793BAB"/>
    <w:rsid w:val="007B1909"/>
    <w:rsid w:val="007B1A23"/>
    <w:rsid w:val="007B2350"/>
    <w:rsid w:val="007B3224"/>
    <w:rsid w:val="007B468B"/>
    <w:rsid w:val="007B74C3"/>
    <w:rsid w:val="007E2DA5"/>
    <w:rsid w:val="007E6ED6"/>
    <w:rsid w:val="008016F4"/>
    <w:rsid w:val="00805880"/>
    <w:rsid w:val="0081255A"/>
    <w:rsid w:val="00813B21"/>
    <w:rsid w:val="008309C9"/>
    <w:rsid w:val="00832976"/>
    <w:rsid w:val="00836B26"/>
    <w:rsid w:val="00841EF9"/>
    <w:rsid w:val="00841FCF"/>
    <w:rsid w:val="00866EA4"/>
    <w:rsid w:val="008672DB"/>
    <w:rsid w:val="00877FC7"/>
    <w:rsid w:val="008832E3"/>
    <w:rsid w:val="00891924"/>
    <w:rsid w:val="008A0BA8"/>
    <w:rsid w:val="008B3866"/>
    <w:rsid w:val="008E52C7"/>
    <w:rsid w:val="0091317D"/>
    <w:rsid w:val="00913D7E"/>
    <w:rsid w:val="009200C5"/>
    <w:rsid w:val="009204BD"/>
    <w:rsid w:val="009274D7"/>
    <w:rsid w:val="009328CD"/>
    <w:rsid w:val="00940E27"/>
    <w:rsid w:val="009418EA"/>
    <w:rsid w:val="00947436"/>
    <w:rsid w:val="009614DA"/>
    <w:rsid w:val="00967D74"/>
    <w:rsid w:val="00980A4A"/>
    <w:rsid w:val="00980C2C"/>
    <w:rsid w:val="009B3344"/>
    <w:rsid w:val="009C1ACA"/>
    <w:rsid w:val="009C7995"/>
    <w:rsid w:val="009D035F"/>
    <w:rsid w:val="009D0E63"/>
    <w:rsid w:val="009D29A4"/>
    <w:rsid w:val="009E0205"/>
    <w:rsid w:val="00A071E2"/>
    <w:rsid w:val="00A10DC5"/>
    <w:rsid w:val="00A13194"/>
    <w:rsid w:val="00A14805"/>
    <w:rsid w:val="00A153DE"/>
    <w:rsid w:val="00A15713"/>
    <w:rsid w:val="00A2455A"/>
    <w:rsid w:val="00A30169"/>
    <w:rsid w:val="00A47E11"/>
    <w:rsid w:val="00A50178"/>
    <w:rsid w:val="00A506BC"/>
    <w:rsid w:val="00A641D0"/>
    <w:rsid w:val="00A65BA2"/>
    <w:rsid w:val="00A65CA9"/>
    <w:rsid w:val="00A71087"/>
    <w:rsid w:val="00A7705C"/>
    <w:rsid w:val="00AB4064"/>
    <w:rsid w:val="00AB4137"/>
    <w:rsid w:val="00AD1E4F"/>
    <w:rsid w:val="00AD7FCE"/>
    <w:rsid w:val="00AE153A"/>
    <w:rsid w:val="00AE3463"/>
    <w:rsid w:val="00AF1419"/>
    <w:rsid w:val="00AF2796"/>
    <w:rsid w:val="00B00AD0"/>
    <w:rsid w:val="00B071F6"/>
    <w:rsid w:val="00B21A21"/>
    <w:rsid w:val="00B30A2D"/>
    <w:rsid w:val="00B41C1A"/>
    <w:rsid w:val="00B43296"/>
    <w:rsid w:val="00B458A5"/>
    <w:rsid w:val="00B81A21"/>
    <w:rsid w:val="00B82C03"/>
    <w:rsid w:val="00B868E1"/>
    <w:rsid w:val="00B86E25"/>
    <w:rsid w:val="00B92324"/>
    <w:rsid w:val="00B94695"/>
    <w:rsid w:val="00B9476C"/>
    <w:rsid w:val="00B95EAC"/>
    <w:rsid w:val="00BC1646"/>
    <w:rsid w:val="00BC4E3C"/>
    <w:rsid w:val="00BC6BCA"/>
    <w:rsid w:val="00BD0527"/>
    <w:rsid w:val="00BD3783"/>
    <w:rsid w:val="00BE2631"/>
    <w:rsid w:val="00BF523A"/>
    <w:rsid w:val="00C017DB"/>
    <w:rsid w:val="00C053F0"/>
    <w:rsid w:val="00C06F4D"/>
    <w:rsid w:val="00C157AB"/>
    <w:rsid w:val="00C24340"/>
    <w:rsid w:val="00C40490"/>
    <w:rsid w:val="00C426E4"/>
    <w:rsid w:val="00C43240"/>
    <w:rsid w:val="00C4437A"/>
    <w:rsid w:val="00C44D4F"/>
    <w:rsid w:val="00C456C3"/>
    <w:rsid w:val="00C52FC0"/>
    <w:rsid w:val="00C54F96"/>
    <w:rsid w:val="00C61F70"/>
    <w:rsid w:val="00C719C0"/>
    <w:rsid w:val="00C75FD2"/>
    <w:rsid w:val="00C834A3"/>
    <w:rsid w:val="00C8391B"/>
    <w:rsid w:val="00C84F44"/>
    <w:rsid w:val="00C9679D"/>
    <w:rsid w:val="00CA24B5"/>
    <w:rsid w:val="00CA5E15"/>
    <w:rsid w:val="00CB23AD"/>
    <w:rsid w:val="00CB241D"/>
    <w:rsid w:val="00CC00AB"/>
    <w:rsid w:val="00CD2297"/>
    <w:rsid w:val="00CD2A66"/>
    <w:rsid w:val="00CD5819"/>
    <w:rsid w:val="00CF2080"/>
    <w:rsid w:val="00CF662F"/>
    <w:rsid w:val="00CF73C8"/>
    <w:rsid w:val="00D01D32"/>
    <w:rsid w:val="00D2145D"/>
    <w:rsid w:val="00D266D6"/>
    <w:rsid w:val="00D30ADA"/>
    <w:rsid w:val="00D30BE2"/>
    <w:rsid w:val="00D32396"/>
    <w:rsid w:val="00D436A9"/>
    <w:rsid w:val="00D46323"/>
    <w:rsid w:val="00D478DE"/>
    <w:rsid w:val="00D50F3D"/>
    <w:rsid w:val="00D55A8E"/>
    <w:rsid w:val="00D56242"/>
    <w:rsid w:val="00D6046C"/>
    <w:rsid w:val="00D63444"/>
    <w:rsid w:val="00D6353B"/>
    <w:rsid w:val="00D77644"/>
    <w:rsid w:val="00D94293"/>
    <w:rsid w:val="00DA17EE"/>
    <w:rsid w:val="00DA20AF"/>
    <w:rsid w:val="00DA6F21"/>
    <w:rsid w:val="00DB153F"/>
    <w:rsid w:val="00DB375A"/>
    <w:rsid w:val="00DB7817"/>
    <w:rsid w:val="00DD715D"/>
    <w:rsid w:val="00E00319"/>
    <w:rsid w:val="00E132EB"/>
    <w:rsid w:val="00E20A54"/>
    <w:rsid w:val="00E239F5"/>
    <w:rsid w:val="00E2760B"/>
    <w:rsid w:val="00E30CE6"/>
    <w:rsid w:val="00E36A8C"/>
    <w:rsid w:val="00E5113D"/>
    <w:rsid w:val="00E52E67"/>
    <w:rsid w:val="00E7016D"/>
    <w:rsid w:val="00E75D3E"/>
    <w:rsid w:val="00E837FD"/>
    <w:rsid w:val="00E95BE5"/>
    <w:rsid w:val="00EB0234"/>
    <w:rsid w:val="00EB167E"/>
    <w:rsid w:val="00EB6628"/>
    <w:rsid w:val="00EB79C4"/>
    <w:rsid w:val="00EC6B87"/>
    <w:rsid w:val="00EF47BB"/>
    <w:rsid w:val="00F00D34"/>
    <w:rsid w:val="00F213E3"/>
    <w:rsid w:val="00F238B5"/>
    <w:rsid w:val="00F27095"/>
    <w:rsid w:val="00F27988"/>
    <w:rsid w:val="00F3314B"/>
    <w:rsid w:val="00F34AB1"/>
    <w:rsid w:val="00F406B1"/>
    <w:rsid w:val="00F5317E"/>
    <w:rsid w:val="00F60904"/>
    <w:rsid w:val="00F61E8E"/>
    <w:rsid w:val="00F63B29"/>
    <w:rsid w:val="00F648B4"/>
    <w:rsid w:val="00F7552F"/>
    <w:rsid w:val="00F8381F"/>
    <w:rsid w:val="00F92BDA"/>
    <w:rsid w:val="00F971A8"/>
    <w:rsid w:val="00FA71E6"/>
    <w:rsid w:val="00FB382D"/>
    <w:rsid w:val="00FD2B8D"/>
    <w:rsid w:val="00FD3A51"/>
    <w:rsid w:val="00FD4ED7"/>
    <w:rsid w:val="00FD5EDB"/>
    <w:rsid w:val="00FE0AAC"/>
    <w:rsid w:val="03A32441"/>
    <w:rsid w:val="0591E48C"/>
    <w:rsid w:val="0655BE59"/>
    <w:rsid w:val="08EE294F"/>
    <w:rsid w:val="0BADE924"/>
    <w:rsid w:val="0CE89AF4"/>
    <w:rsid w:val="0D5E9B78"/>
    <w:rsid w:val="0D8E9DFF"/>
    <w:rsid w:val="0D9ECADF"/>
    <w:rsid w:val="100FC899"/>
    <w:rsid w:val="1254FDB0"/>
    <w:rsid w:val="12C1B41D"/>
    <w:rsid w:val="14A3EFF9"/>
    <w:rsid w:val="175AA713"/>
    <w:rsid w:val="197463C8"/>
    <w:rsid w:val="19E8AB24"/>
    <w:rsid w:val="1A308B6E"/>
    <w:rsid w:val="1CF119D5"/>
    <w:rsid w:val="1DD3F739"/>
    <w:rsid w:val="1EA28447"/>
    <w:rsid w:val="1F335480"/>
    <w:rsid w:val="1FDA5FB7"/>
    <w:rsid w:val="1FEF0BFD"/>
    <w:rsid w:val="20154A1D"/>
    <w:rsid w:val="20F231BF"/>
    <w:rsid w:val="27015E02"/>
    <w:rsid w:val="28E63524"/>
    <w:rsid w:val="2A5B5009"/>
    <w:rsid w:val="2C6D169B"/>
    <w:rsid w:val="2C91107F"/>
    <w:rsid w:val="2D022272"/>
    <w:rsid w:val="2D30E5F6"/>
    <w:rsid w:val="2DBCEDCD"/>
    <w:rsid w:val="2DD8171D"/>
    <w:rsid w:val="31317B03"/>
    <w:rsid w:val="318C375A"/>
    <w:rsid w:val="3288732F"/>
    <w:rsid w:val="32E7A59E"/>
    <w:rsid w:val="33FFE9FC"/>
    <w:rsid w:val="3420D3CB"/>
    <w:rsid w:val="3655FA5C"/>
    <w:rsid w:val="3AB4FFFA"/>
    <w:rsid w:val="3F155E5B"/>
    <w:rsid w:val="40E407B2"/>
    <w:rsid w:val="4162A6B0"/>
    <w:rsid w:val="42787714"/>
    <w:rsid w:val="43B6A013"/>
    <w:rsid w:val="44B79F08"/>
    <w:rsid w:val="44CF6ABC"/>
    <w:rsid w:val="44E2A298"/>
    <w:rsid w:val="4661C9DB"/>
    <w:rsid w:val="466E2422"/>
    <w:rsid w:val="47D0E85F"/>
    <w:rsid w:val="48C912F8"/>
    <w:rsid w:val="495E3BEF"/>
    <w:rsid w:val="4C37875F"/>
    <w:rsid w:val="4C83CA63"/>
    <w:rsid w:val="4CEC12A9"/>
    <w:rsid w:val="4D0F30A8"/>
    <w:rsid w:val="4D14670A"/>
    <w:rsid w:val="4E6CD778"/>
    <w:rsid w:val="4FDC67BA"/>
    <w:rsid w:val="4FE9CB4A"/>
    <w:rsid w:val="51B14D64"/>
    <w:rsid w:val="52884FDE"/>
    <w:rsid w:val="53C54257"/>
    <w:rsid w:val="53DC045E"/>
    <w:rsid w:val="57C23E78"/>
    <w:rsid w:val="57EB394E"/>
    <w:rsid w:val="57EE2E71"/>
    <w:rsid w:val="588D2E57"/>
    <w:rsid w:val="5932C897"/>
    <w:rsid w:val="59451275"/>
    <w:rsid w:val="59494FFD"/>
    <w:rsid w:val="59DA5879"/>
    <w:rsid w:val="59DF32B0"/>
    <w:rsid w:val="5A20855F"/>
    <w:rsid w:val="5AA93E03"/>
    <w:rsid w:val="5B31A58F"/>
    <w:rsid w:val="5C134784"/>
    <w:rsid w:val="5CAA0D82"/>
    <w:rsid w:val="5D0E476D"/>
    <w:rsid w:val="5D964496"/>
    <w:rsid w:val="5DCE2DAB"/>
    <w:rsid w:val="5E8D253D"/>
    <w:rsid w:val="5EB7CD3B"/>
    <w:rsid w:val="5FBC14BC"/>
    <w:rsid w:val="6176A40A"/>
    <w:rsid w:val="61D998C3"/>
    <w:rsid w:val="61DFD253"/>
    <w:rsid w:val="66D7B8E2"/>
    <w:rsid w:val="6775B1B0"/>
    <w:rsid w:val="6B3B9FF2"/>
    <w:rsid w:val="6B5E4AB3"/>
    <w:rsid w:val="6C2961E7"/>
    <w:rsid w:val="6E3B4C31"/>
    <w:rsid w:val="6EA5F6E4"/>
    <w:rsid w:val="6F3FA696"/>
    <w:rsid w:val="71F8B2DB"/>
    <w:rsid w:val="720528AA"/>
    <w:rsid w:val="724C962B"/>
    <w:rsid w:val="72B1FEB8"/>
    <w:rsid w:val="7572B379"/>
    <w:rsid w:val="78BB8816"/>
    <w:rsid w:val="791CE0D7"/>
    <w:rsid w:val="791EC049"/>
    <w:rsid w:val="7B75D838"/>
    <w:rsid w:val="7B891083"/>
    <w:rsid w:val="7D0C0FC3"/>
    <w:rsid w:val="7DC64579"/>
    <w:rsid w:val="7E5823F8"/>
    <w:rsid w:val="7E5E4BB7"/>
    <w:rsid w:val="7F793C85"/>
    <w:rsid w:val="7F933D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588C1"/>
  <w15:docId w15:val="{E16F30D7-F0F2-4E2F-BE8B-751DF93B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D30BE2"/>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D30BE2"/>
    <w:pPr>
      <w:spacing w:after="100"/>
    </w:pPr>
  </w:style>
  <w:style w:type="paragraph" w:styleId="TOC2">
    <w:name w:val="toc 2"/>
    <w:basedOn w:val="Normal"/>
    <w:next w:val="Normal"/>
    <w:autoRedefine/>
    <w:uiPriority w:val="39"/>
    <w:unhideWhenUsed/>
    <w:rsid w:val="00D30BE2"/>
    <w:pPr>
      <w:spacing w:after="100"/>
      <w:ind w:left="240"/>
    </w:pPr>
  </w:style>
  <w:style w:type="paragraph" w:styleId="TOC3">
    <w:name w:val="toc 3"/>
    <w:basedOn w:val="Normal"/>
    <w:next w:val="Normal"/>
    <w:autoRedefine/>
    <w:uiPriority w:val="39"/>
    <w:unhideWhenUsed/>
    <w:rsid w:val="00D30BE2"/>
    <w:pPr>
      <w:spacing w:after="100"/>
      <w:ind w:left="480"/>
    </w:pPr>
  </w:style>
  <w:style w:type="paragraph" w:styleId="Revision">
    <w:name w:val="Revision"/>
    <w:hidden/>
    <w:uiPriority w:val="99"/>
    <w:semiHidden/>
    <w:rsid w:val="00CF662F"/>
    <w:pPr>
      <w:widowControl/>
    </w:pPr>
    <w:rPr>
      <w:rFonts w:eastAsia="Times New Roman"/>
      <w:snapToGrid w:val="0"/>
      <w:szCs w:val="20"/>
    </w:rPr>
  </w:style>
  <w:style w:type="paragraph" w:styleId="CommentText">
    <w:name w:val="annotation text"/>
    <w:basedOn w:val="Normal"/>
    <w:link w:val="CommentTextChar"/>
    <w:uiPriority w:val="99"/>
    <w:semiHidden/>
    <w:unhideWhenUsed/>
    <w:rsid w:val="00E75D3E"/>
    <w:pPr>
      <w:spacing w:line="240" w:lineRule="auto"/>
    </w:pPr>
    <w:rPr>
      <w:sz w:val="20"/>
    </w:rPr>
  </w:style>
  <w:style w:type="character" w:customStyle="1" w:styleId="CommentTextChar">
    <w:name w:val="Comment Text Char"/>
    <w:basedOn w:val="DefaultParagraphFont"/>
    <w:link w:val="CommentText"/>
    <w:uiPriority w:val="99"/>
    <w:semiHidden/>
    <w:rsid w:val="00E75D3E"/>
    <w:rPr>
      <w:rFonts w:eastAsia="Times New Roman"/>
      <w:snapToGrid w:val="0"/>
      <w:sz w:val="20"/>
      <w:szCs w:val="20"/>
    </w:rPr>
  </w:style>
  <w:style w:type="character" w:styleId="CommentReference">
    <w:name w:val="annotation reference"/>
    <w:basedOn w:val="DefaultParagraphFont"/>
    <w:uiPriority w:val="99"/>
    <w:semiHidden/>
    <w:unhideWhenUsed/>
    <w:rsid w:val="00E75D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bguides.londonmet.ac.uk/c.php?g=713976&amp;p=52302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3F71790F-07A9-4E75-94A9-F10353820098}">
  <ds:schemaRefs>
    <ds:schemaRef ds:uri="http://schemas.microsoft.com/office/2006/metadata/properties"/>
    <ds:schemaRef ds:uri="http://schemas.microsoft.com/office/infopath/2007/PartnerControls"/>
    <ds:schemaRef ds:uri="http://schemas.microsoft.com/sharepoint/v3"/>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20969096-D4CF-40AE-92B6-0AC51577D8FA}">
  <ds:schemaRefs>
    <ds:schemaRef ds:uri="http://schemas.microsoft.com/sharepoint/v3/contenttype/form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7891E43B-DEC5-4EB9-B5D1-17F85FD4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(8).dotx</Template>
  <TotalTime>0</TotalTime>
  <Pages>5</Pages>
  <Words>976</Words>
  <Characters>5353</Characters>
  <Application>Microsoft Office Word</Application>
  <DocSecurity>0</DocSecurity>
  <Lines>146</Lines>
  <Paragraphs>58</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cp:lastModifiedBy>Lorisha Glen</cp:lastModifiedBy>
  <cp:revision>3</cp:revision>
  <dcterms:created xsi:type="dcterms:W3CDTF">2025-08-10T19:52:00Z</dcterms:created>
  <dcterms:modified xsi:type="dcterms:W3CDTF">2025-08-11T13:41:00Z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MediaServiceImageTags">
    <vt:lpwstr/>
  </property>
  <property fmtid="{D5CDD505-2E9C-101B-9397-08002B2CF9AE}" pid="5" name="GrammarlyDocumentId">
    <vt:lpwstr>fadf2409-5a4c-4693-b246-2085948dce3a</vt:lpwstr>
  </property>
</Properties>
</file>