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844CA" w14:textId="77777777" w:rsidR="00A506BC" w:rsidRDefault="00A506BC" w:rsidP="000C38F5">
      <w:pPr>
        <w:pStyle w:val="Title"/>
      </w:pPr>
    </w:p>
    <w:p w14:paraId="4C13E50E" w14:textId="77777777" w:rsidR="00A506BC" w:rsidRDefault="00A506BC" w:rsidP="000C38F5">
      <w:pPr>
        <w:pStyle w:val="Title"/>
      </w:pPr>
    </w:p>
    <w:p w14:paraId="3247249A" w14:textId="77777777" w:rsidR="00A506BC" w:rsidRDefault="00A506BC" w:rsidP="000C38F5">
      <w:pPr>
        <w:pStyle w:val="Title"/>
      </w:pPr>
    </w:p>
    <w:p w14:paraId="6E53EB9A" w14:textId="77777777" w:rsidR="00A506BC" w:rsidRDefault="00A506BC" w:rsidP="000C38F5">
      <w:pPr>
        <w:pStyle w:val="Title"/>
      </w:pPr>
    </w:p>
    <w:p w14:paraId="33AA5040" w14:textId="7913198E" w:rsidR="000C38F5" w:rsidRDefault="00D14D7F" w:rsidP="00E00319">
      <w:pPr>
        <w:pStyle w:val="Title"/>
        <w:spacing w:line="360" w:lineRule="auto"/>
      </w:pPr>
      <w:bookmarkStart w:id="0" w:name="_Toc111202257"/>
      <w:r>
        <w:t xml:space="preserve">General Student Regulations </w:t>
      </w:r>
      <w:r w:rsidR="008B30B6">
        <w:t>202</w:t>
      </w:r>
      <w:r w:rsidR="00524066">
        <w:t>4</w:t>
      </w:r>
      <w:r>
        <w:t>-</w:t>
      </w:r>
      <w:r w:rsidR="008B30B6">
        <w:t>2</w:t>
      </w:r>
      <w:r w:rsidR="00524066">
        <w:t>5</w:t>
      </w:r>
      <w:r w:rsidR="008B30B6">
        <w:t xml:space="preserve"> </w:t>
      </w:r>
      <w:r>
        <w:t xml:space="preserve">Section </w:t>
      </w:r>
      <w:r w:rsidR="004E62FE">
        <w:t>0</w:t>
      </w:r>
      <w:r>
        <w:t>5 – Intellectual Property and Research Conduct</w:t>
      </w:r>
      <w:bookmarkEnd w:id="0"/>
    </w:p>
    <w:p w14:paraId="27D5715B" w14:textId="77777777" w:rsidR="005B3AE2" w:rsidRDefault="005B3AE2" w:rsidP="005B3AE2">
      <w:pPr>
        <w:suppressAutoHyphens w:val="0"/>
        <w:spacing w:after="0" w:line="240" w:lineRule="auto"/>
      </w:pPr>
    </w:p>
    <w:p w14:paraId="426A7C30" w14:textId="77777777" w:rsidR="005B3AE2" w:rsidRDefault="005B3AE2" w:rsidP="005B3AE2">
      <w:pPr>
        <w:suppressAutoHyphens w:val="0"/>
        <w:spacing w:after="0" w:line="240" w:lineRule="auto"/>
      </w:pPr>
    </w:p>
    <w:p w14:paraId="0A2B05E6" w14:textId="77777777" w:rsidR="005B3AE2" w:rsidRDefault="005B3AE2" w:rsidP="005B3AE2">
      <w:pPr>
        <w:suppressAutoHyphens w:val="0"/>
        <w:spacing w:after="0" w:line="240" w:lineRule="auto"/>
      </w:pPr>
    </w:p>
    <w:p w14:paraId="2F8DEE78" w14:textId="77777777" w:rsidR="005B3AE2" w:rsidRDefault="005B3AE2" w:rsidP="005B3AE2">
      <w:pPr>
        <w:suppressAutoHyphens w:val="0"/>
        <w:spacing w:after="0" w:line="240" w:lineRule="auto"/>
      </w:pPr>
    </w:p>
    <w:p w14:paraId="730247FC" w14:textId="77777777" w:rsidR="005B3AE2" w:rsidRDefault="005B3AE2" w:rsidP="005B3AE2">
      <w:pPr>
        <w:suppressAutoHyphens w:val="0"/>
        <w:spacing w:after="0" w:line="240" w:lineRule="auto"/>
      </w:pPr>
    </w:p>
    <w:p w14:paraId="399078F2" w14:textId="77777777" w:rsidR="005B3AE2" w:rsidRDefault="005B3AE2" w:rsidP="005B3AE2">
      <w:pPr>
        <w:suppressAutoHyphens w:val="0"/>
        <w:spacing w:after="0" w:line="240" w:lineRule="auto"/>
      </w:pPr>
    </w:p>
    <w:p w14:paraId="767CB30D" w14:textId="77777777" w:rsidR="005B3AE2" w:rsidRDefault="005B3AE2" w:rsidP="005B3AE2">
      <w:pPr>
        <w:suppressAutoHyphens w:val="0"/>
        <w:spacing w:after="0" w:line="240" w:lineRule="auto"/>
      </w:pPr>
    </w:p>
    <w:p w14:paraId="28EE0371" w14:textId="77777777" w:rsidR="005B3AE2" w:rsidRDefault="005B3AE2" w:rsidP="005B3AE2">
      <w:pPr>
        <w:suppressAutoHyphens w:val="0"/>
        <w:spacing w:after="0" w:line="240" w:lineRule="auto"/>
      </w:pPr>
    </w:p>
    <w:p w14:paraId="4E06DA7F" w14:textId="77777777" w:rsidR="005B3AE2" w:rsidRDefault="005B3AE2" w:rsidP="005B3AE2">
      <w:pPr>
        <w:suppressAutoHyphens w:val="0"/>
        <w:spacing w:after="0" w:line="240" w:lineRule="auto"/>
      </w:pPr>
    </w:p>
    <w:p w14:paraId="77F908CF" w14:textId="77777777" w:rsidR="005B3AE2" w:rsidRDefault="005B3AE2" w:rsidP="005B3AE2">
      <w:pPr>
        <w:suppressAutoHyphens w:val="0"/>
        <w:spacing w:after="0" w:line="240" w:lineRule="auto"/>
      </w:pPr>
    </w:p>
    <w:p w14:paraId="27D3E2C3" w14:textId="77777777" w:rsidR="005B3AE2" w:rsidRDefault="005B3AE2" w:rsidP="005B3AE2">
      <w:pPr>
        <w:suppressAutoHyphens w:val="0"/>
        <w:spacing w:after="0" w:line="240" w:lineRule="auto"/>
      </w:pPr>
    </w:p>
    <w:p w14:paraId="06AF2C88" w14:textId="77777777" w:rsidR="005B3AE2" w:rsidRDefault="005B3AE2" w:rsidP="005B3AE2">
      <w:pPr>
        <w:suppressAutoHyphens w:val="0"/>
        <w:spacing w:after="0" w:line="240" w:lineRule="auto"/>
      </w:pPr>
    </w:p>
    <w:p w14:paraId="094C2125" w14:textId="77777777" w:rsidR="005B3AE2" w:rsidRDefault="005B3AE2" w:rsidP="005B3AE2">
      <w:pPr>
        <w:suppressAutoHyphens w:val="0"/>
        <w:spacing w:after="0" w:line="240" w:lineRule="auto"/>
      </w:pPr>
    </w:p>
    <w:p w14:paraId="48A043B6" w14:textId="77777777" w:rsidR="005B3AE2" w:rsidRDefault="005B3AE2" w:rsidP="005B3AE2">
      <w:pPr>
        <w:suppressAutoHyphens w:val="0"/>
        <w:spacing w:after="0" w:line="240" w:lineRule="auto"/>
      </w:pPr>
    </w:p>
    <w:p w14:paraId="47526A98" w14:textId="77777777" w:rsidR="005B3AE2" w:rsidRDefault="005B3AE2" w:rsidP="005B3AE2">
      <w:pPr>
        <w:suppressAutoHyphens w:val="0"/>
        <w:spacing w:after="0" w:line="240" w:lineRule="auto"/>
      </w:pPr>
    </w:p>
    <w:p w14:paraId="3FD01C04" w14:textId="0079930B" w:rsidR="005B3AE2" w:rsidRPr="005B3AE2" w:rsidRDefault="00D14D7F" w:rsidP="00A071E2">
      <w:pPr>
        <w:suppressAutoHyphens w:val="0"/>
        <w:spacing w:after="0"/>
      </w:pPr>
      <w:r>
        <w:t>Owner</w:t>
      </w:r>
      <w:r w:rsidR="005B3AE2" w:rsidRPr="005B3AE2">
        <w:t>:</w:t>
      </w:r>
      <w:r>
        <w:t xml:space="preserve"> </w:t>
      </w:r>
      <w:r w:rsidR="008B30B6">
        <w:t>Dean of Students</w:t>
      </w:r>
      <w:r>
        <w:t xml:space="preserve"> </w:t>
      </w:r>
    </w:p>
    <w:p w14:paraId="2DCF9447" w14:textId="7C40673B" w:rsidR="005B3AE2" w:rsidRPr="005B3AE2" w:rsidRDefault="005B3AE2" w:rsidP="00A071E2">
      <w:pPr>
        <w:suppressAutoHyphens w:val="0"/>
        <w:spacing w:after="0"/>
      </w:pPr>
      <w:r w:rsidRPr="005B3AE2">
        <w:t>Version:</w:t>
      </w:r>
      <w:r w:rsidR="00D14D7F">
        <w:t xml:space="preserve"> 1.0</w:t>
      </w:r>
    </w:p>
    <w:p w14:paraId="13F92FD6" w14:textId="5F0C7293" w:rsidR="005B3AE2" w:rsidRPr="005B3AE2" w:rsidRDefault="00D14D7F" w:rsidP="00A071E2">
      <w:pPr>
        <w:suppressAutoHyphens w:val="0"/>
        <w:spacing w:after="0"/>
      </w:pPr>
      <w:r>
        <w:t xml:space="preserve">Coming into effect: </w:t>
      </w:r>
      <w:r w:rsidR="008B30B6">
        <w:t>202</w:t>
      </w:r>
      <w:r w:rsidR="00524066">
        <w:t>4</w:t>
      </w:r>
      <w:r w:rsidR="004E62FE">
        <w:t>-</w:t>
      </w:r>
      <w:r>
        <w:t>09</w:t>
      </w:r>
      <w:r w:rsidR="004E62FE">
        <w:t>-</w:t>
      </w:r>
      <w:r>
        <w:t>01</w:t>
      </w:r>
    </w:p>
    <w:p w14:paraId="59ACE242" w14:textId="05843F44" w:rsidR="00A506BC" w:rsidRPr="005B3AE2" w:rsidRDefault="00D14D7F" w:rsidP="00A071E2">
      <w:pPr>
        <w:suppressAutoHyphens w:val="0"/>
        <w:spacing w:after="0"/>
      </w:pPr>
      <w:r>
        <w:t xml:space="preserve">Review date: </w:t>
      </w:r>
      <w:r w:rsidR="008B30B6">
        <w:t>202</w:t>
      </w:r>
      <w:r w:rsidR="00524066">
        <w:t>5</w:t>
      </w:r>
      <w:r w:rsidR="008B30B6">
        <w:t>-June</w:t>
      </w:r>
      <w:r w:rsidR="00A506BC">
        <w:br w:type="page"/>
      </w:r>
    </w:p>
    <w:sdt>
      <w:sdtPr>
        <w:rPr>
          <w:rFonts w:ascii="Arial" w:eastAsia="Times New Roman" w:hAnsi="Arial" w:cs="Arial"/>
          <w:snapToGrid w:val="0"/>
          <w:color w:val="auto"/>
          <w:sz w:val="24"/>
          <w:szCs w:val="20"/>
          <w:lang w:val="en-GB" w:eastAsia="en-GB"/>
        </w:rPr>
        <w:id w:val="-1611264231"/>
        <w:docPartObj>
          <w:docPartGallery w:val="Table of Contents"/>
          <w:docPartUnique/>
        </w:docPartObj>
      </w:sdtPr>
      <w:sdtEndPr>
        <w:rPr>
          <w:b/>
          <w:bCs/>
          <w:noProof/>
        </w:rPr>
      </w:sdtEndPr>
      <w:sdtContent>
        <w:p w14:paraId="78C40881" w14:textId="7E8F234F" w:rsidR="00D14D7F" w:rsidRPr="00D14D7F" w:rsidRDefault="00D14D7F">
          <w:pPr>
            <w:pStyle w:val="TOCHeading"/>
            <w:rPr>
              <w:rFonts w:ascii="Arial" w:hAnsi="Arial" w:cs="Arial"/>
              <w:b/>
              <w:bCs/>
              <w:color w:val="auto"/>
              <w:sz w:val="28"/>
              <w:szCs w:val="28"/>
            </w:rPr>
          </w:pPr>
          <w:r w:rsidRPr="00D14D7F">
            <w:rPr>
              <w:rFonts w:ascii="Arial" w:hAnsi="Arial" w:cs="Arial"/>
              <w:b/>
              <w:bCs/>
              <w:color w:val="auto"/>
              <w:sz w:val="28"/>
              <w:szCs w:val="28"/>
            </w:rPr>
            <w:t>Contents</w:t>
          </w:r>
        </w:p>
        <w:p w14:paraId="550E0C57" w14:textId="3D9483BC" w:rsidR="00B13EF3" w:rsidRDefault="00D14D7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16FC5BEC" w14:textId="4AD1CB95" w:rsidR="00B13EF3" w:rsidRDefault="00A24E34">
          <w:pPr>
            <w:pStyle w:val="TOC1"/>
            <w:tabs>
              <w:tab w:val="left" w:pos="480"/>
              <w:tab w:val="right" w:leader="dot" w:pos="9010"/>
            </w:tabs>
            <w:rPr>
              <w:rFonts w:asciiTheme="minorHAnsi" w:eastAsiaTheme="minorEastAsia" w:hAnsiTheme="minorHAnsi" w:cstheme="minorBidi"/>
              <w:noProof/>
              <w:snapToGrid/>
              <w:sz w:val="22"/>
              <w:szCs w:val="22"/>
            </w:rPr>
          </w:pPr>
          <w:hyperlink w:anchor="_Toc111202258" w:history="1">
            <w:r w:rsidR="00B13EF3" w:rsidRPr="008E0144">
              <w:rPr>
                <w:rStyle w:val="Hyperlink"/>
                <w:noProof/>
              </w:rPr>
              <w:t>1.</w:t>
            </w:r>
            <w:r w:rsidR="00B13EF3">
              <w:rPr>
                <w:rFonts w:asciiTheme="minorHAnsi" w:eastAsiaTheme="minorEastAsia" w:hAnsiTheme="minorHAnsi" w:cstheme="minorBidi"/>
                <w:noProof/>
                <w:snapToGrid/>
                <w:sz w:val="22"/>
                <w:szCs w:val="22"/>
              </w:rPr>
              <w:tab/>
            </w:r>
            <w:r w:rsidR="00B13EF3" w:rsidRPr="008E0144">
              <w:rPr>
                <w:rStyle w:val="Hyperlink"/>
                <w:noProof/>
              </w:rPr>
              <w:t>Intellectual property</w:t>
            </w:r>
            <w:r w:rsidR="00B13EF3">
              <w:rPr>
                <w:noProof/>
                <w:webHidden/>
              </w:rPr>
              <w:tab/>
            </w:r>
            <w:r w:rsidR="00B13EF3">
              <w:rPr>
                <w:noProof/>
                <w:webHidden/>
              </w:rPr>
              <w:fldChar w:fldCharType="begin"/>
            </w:r>
            <w:r w:rsidR="00B13EF3">
              <w:rPr>
                <w:noProof/>
                <w:webHidden/>
              </w:rPr>
              <w:instrText xml:space="preserve"> PAGEREF _Toc111202258 \h </w:instrText>
            </w:r>
            <w:r w:rsidR="00B13EF3">
              <w:rPr>
                <w:noProof/>
                <w:webHidden/>
              </w:rPr>
            </w:r>
            <w:r w:rsidR="00B13EF3">
              <w:rPr>
                <w:noProof/>
                <w:webHidden/>
              </w:rPr>
              <w:fldChar w:fldCharType="separate"/>
            </w:r>
            <w:r w:rsidR="00B13EF3">
              <w:rPr>
                <w:noProof/>
                <w:webHidden/>
              </w:rPr>
              <w:t>3</w:t>
            </w:r>
            <w:r w:rsidR="00B13EF3">
              <w:rPr>
                <w:noProof/>
                <w:webHidden/>
              </w:rPr>
              <w:fldChar w:fldCharType="end"/>
            </w:r>
          </w:hyperlink>
        </w:p>
        <w:p w14:paraId="6A5F18F1" w14:textId="23364449" w:rsidR="00B13EF3" w:rsidRDefault="00A24E34">
          <w:pPr>
            <w:pStyle w:val="TOC1"/>
            <w:tabs>
              <w:tab w:val="left" w:pos="480"/>
              <w:tab w:val="right" w:leader="dot" w:pos="9010"/>
            </w:tabs>
            <w:rPr>
              <w:rFonts w:asciiTheme="minorHAnsi" w:eastAsiaTheme="minorEastAsia" w:hAnsiTheme="minorHAnsi" w:cstheme="minorBidi"/>
              <w:noProof/>
              <w:snapToGrid/>
              <w:sz w:val="22"/>
              <w:szCs w:val="22"/>
            </w:rPr>
          </w:pPr>
          <w:hyperlink w:anchor="_Toc111202259" w:history="1">
            <w:r w:rsidR="00B13EF3" w:rsidRPr="008E0144">
              <w:rPr>
                <w:rStyle w:val="Hyperlink"/>
                <w:noProof/>
              </w:rPr>
              <w:t>2.</w:t>
            </w:r>
            <w:r w:rsidR="00B13EF3">
              <w:rPr>
                <w:rFonts w:asciiTheme="minorHAnsi" w:eastAsiaTheme="minorEastAsia" w:hAnsiTheme="minorHAnsi" w:cstheme="minorBidi"/>
                <w:noProof/>
                <w:snapToGrid/>
                <w:sz w:val="22"/>
                <w:szCs w:val="22"/>
              </w:rPr>
              <w:tab/>
            </w:r>
            <w:r w:rsidR="00B13EF3" w:rsidRPr="008E0144">
              <w:rPr>
                <w:rStyle w:val="Hyperlink"/>
                <w:noProof/>
              </w:rPr>
              <w:t>Research</w:t>
            </w:r>
            <w:r w:rsidR="00B13EF3">
              <w:rPr>
                <w:noProof/>
                <w:webHidden/>
              </w:rPr>
              <w:tab/>
            </w:r>
            <w:r w:rsidR="00B13EF3">
              <w:rPr>
                <w:noProof/>
                <w:webHidden/>
              </w:rPr>
              <w:fldChar w:fldCharType="begin"/>
            </w:r>
            <w:r w:rsidR="00B13EF3">
              <w:rPr>
                <w:noProof/>
                <w:webHidden/>
              </w:rPr>
              <w:instrText xml:space="preserve"> PAGEREF _Toc111202259 \h </w:instrText>
            </w:r>
            <w:r w:rsidR="00B13EF3">
              <w:rPr>
                <w:noProof/>
                <w:webHidden/>
              </w:rPr>
            </w:r>
            <w:r w:rsidR="00B13EF3">
              <w:rPr>
                <w:noProof/>
                <w:webHidden/>
              </w:rPr>
              <w:fldChar w:fldCharType="separate"/>
            </w:r>
            <w:r w:rsidR="00B13EF3">
              <w:rPr>
                <w:noProof/>
                <w:webHidden/>
              </w:rPr>
              <w:t>3</w:t>
            </w:r>
            <w:r w:rsidR="00B13EF3">
              <w:rPr>
                <w:noProof/>
                <w:webHidden/>
              </w:rPr>
              <w:fldChar w:fldCharType="end"/>
            </w:r>
          </w:hyperlink>
        </w:p>
        <w:p w14:paraId="13873068" w14:textId="5D4CB5D5" w:rsidR="00D14D7F" w:rsidRDefault="00D14D7F">
          <w:r>
            <w:rPr>
              <w:b/>
              <w:bCs/>
              <w:noProof/>
            </w:rPr>
            <w:fldChar w:fldCharType="end"/>
          </w:r>
        </w:p>
      </w:sdtContent>
    </w:sdt>
    <w:p w14:paraId="31824FEB" w14:textId="77777777" w:rsidR="00D14D7F" w:rsidRDefault="00D14D7F">
      <w:pPr>
        <w:suppressAutoHyphens w:val="0"/>
        <w:spacing w:after="0" w:line="240" w:lineRule="auto"/>
        <w:rPr>
          <w:b/>
          <w:bCs/>
          <w:sz w:val="32"/>
          <w:szCs w:val="28"/>
        </w:rPr>
      </w:pPr>
      <w:r>
        <w:br w:type="page"/>
      </w:r>
    </w:p>
    <w:p w14:paraId="3C111548" w14:textId="63379643" w:rsidR="00B13EF3" w:rsidRDefault="00B13EF3" w:rsidP="00B13EF3">
      <w:pPr>
        <w:pStyle w:val="Heading1"/>
        <w:numPr>
          <w:ilvl w:val="0"/>
          <w:numId w:val="3"/>
        </w:numPr>
      </w:pPr>
      <w:bookmarkStart w:id="1" w:name="_Toc111202258"/>
      <w:r>
        <w:lastRenderedPageBreak/>
        <w:t>Intellectual property</w:t>
      </w:r>
      <w:bookmarkEnd w:id="1"/>
    </w:p>
    <w:p w14:paraId="1DA2CF19" w14:textId="44C9A01B" w:rsidR="00773041" w:rsidRDefault="00773041" w:rsidP="00B13EF3">
      <w:pPr>
        <w:pStyle w:val="ListParagraph"/>
        <w:numPr>
          <w:ilvl w:val="1"/>
          <w:numId w:val="3"/>
        </w:numPr>
      </w:pPr>
      <w:r w:rsidRPr="00773041">
        <w:t>Subject to any specific agreements (including, but not limited to, research contracts, studentship and funding agreements), ownership and other matters relating to intellectual property created developed by students during their study at the University shall be governed by the University’s Intellectual Property Policy.</w:t>
      </w:r>
    </w:p>
    <w:p w14:paraId="2B61B054" w14:textId="77777777" w:rsidR="00B13EF3" w:rsidRPr="00B13EF3" w:rsidRDefault="00B13EF3" w:rsidP="00B13EF3">
      <w:pPr>
        <w:pStyle w:val="ListParagraph"/>
        <w:numPr>
          <w:ilvl w:val="1"/>
          <w:numId w:val="3"/>
        </w:numPr>
      </w:pPr>
      <w:r w:rsidRPr="00B13EF3">
        <w:t>Where the University’s Intellectual Property Policy is amended or replaced, the version in force at the commencement of the relevant project or course shall govern ownership and other matters relating to intellectual property, subject to any specific agreement.</w:t>
      </w:r>
    </w:p>
    <w:p w14:paraId="0341B3DE" w14:textId="77777777" w:rsidR="00B13EF3" w:rsidRPr="00B13EF3" w:rsidRDefault="00B13EF3" w:rsidP="00B13EF3">
      <w:pPr>
        <w:pStyle w:val="ListParagraph"/>
        <w:numPr>
          <w:ilvl w:val="1"/>
          <w:numId w:val="3"/>
        </w:numPr>
      </w:pPr>
      <w:r w:rsidRPr="00B13EF3">
        <w:t>Notwithstanding the provisions of the University’s Intellectual Property Policy, where student created intellectual property does not vest in the University, each student grants to the University an irrevocable, royalty-free, worldwide licence to use and sub-licence any intellectual property the student creates in the course of their programme of studies (including, but not limited to, exams scripts, essays, dissertations, theses, coursework assignments), or relating to their registration as a student for non-commercial administrative, promotional, educational, quality control, examination and teaching purposes including but not limited to scanning and storage of electronic copies of students’ work.</w:t>
      </w:r>
    </w:p>
    <w:p w14:paraId="668C86D1" w14:textId="10FED9E7" w:rsidR="00B13EF3" w:rsidRDefault="00B13EF3" w:rsidP="00B13EF3">
      <w:pPr>
        <w:pStyle w:val="ListParagraph"/>
        <w:numPr>
          <w:ilvl w:val="0"/>
          <w:numId w:val="0"/>
        </w:numPr>
        <w:ind w:left="1080"/>
      </w:pPr>
    </w:p>
    <w:p w14:paraId="694623D7" w14:textId="0C325D32" w:rsidR="00B13EF3" w:rsidRDefault="00B13EF3" w:rsidP="00B13EF3">
      <w:pPr>
        <w:pStyle w:val="Heading1"/>
        <w:numPr>
          <w:ilvl w:val="0"/>
          <w:numId w:val="3"/>
        </w:numPr>
      </w:pPr>
      <w:bookmarkStart w:id="2" w:name="_Toc111202259"/>
      <w:r>
        <w:t>Research</w:t>
      </w:r>
      <w:bookmarkEnd w:id="2"/>
    </w:p>
    <w:p w14:paraId="1DA606B0" w14:textId="77777777" w:rsidR="00B13EF3" w:rsidRPr="00B13EF3" w:rsidRDefault="00B13EF3" w:rsidP="00B13EF3">
      <w:pPr>
        <w:pStyle w:val="ListParagraph"/>
        <w:numPr>
          <w:ilvl w:val="1"/>
          <w:numId w:val="3"/>
        </w:numPr>
      </w:pPr>
      <w:r w:rsidRPr="00B13EF3">
        <w:t>The Research Ethics Sub-Committee may publish codes of conduct, rules and/or policies relating to research projects and related activities as part of undergraduate, postgraduate or short course taught, research programmes or other research activity (referred to in these regulations as the “Research Code”).</w:t>
      </w:r>
    </w:p>
    <w:p w14:paraId="2572354C" w14:textId="77777777" w:rsidR="00B13EF3" w:rsidRDefault="00B13EF3" w:rsidP="00B13EF3">
      <w:pPr>
        <w:pStyle w:val="ListParagraph"/>
        <w:numPr>
          <w:ilvl w:val="1"/>
          <w:numId w:val="3"/>
        </w:numPr>
      </w:pPr>
      <w:r>
        <w:t>The Research Code may include (but is not limited to) provisions relating to:</w:t>
      </w:r>
    </w:p>
    <w:p w14:paraId="297360C7" w14:textId="39293FE6" w:rsidR="00B13EF3" w:rsidRDefault="00B13EF3" w:rsidP="00B13EF3">
      <w:pPr>
        <w:pStyle w:val="ListParagraph"/>
        <w:numPr>
          <w:ilvl w:val="2"/>
          <w:numId w:val="3"/>
        </w:numPr>
      </w:pPr>
      <w:r>
        <w:t>research ethics policy and procedures;</w:t>
      </w:r>
    </w:p>
    <w:p w14:paraId="4A5486A9" w14:textId="4516C1F2" w:rsidR="00B13EF3" w:rsidRDefault="00B13EF3" w:rsidP="00B13EF3">
      <w:pPr>
        <w:pStyle w:val="ListParagraph"/>
        <w:numPr>
          <w:ilvl w:val="2"/>
          <w:numId w:val="3"/>
        </w:numPr>
      </w:pPr>
      <w:r>
        <w:t>proper conduct of research, and the standards expected; and</w:t>
      </w:r>
    </w:p>
    <w:p w14:paraId="27BEEF77" w14:textId="0D4BA11A" w:rsidR="00B13EF3" w:rsidRDefault="00B13EF3" w:rsidP="00B13EF3">
      <w:pPr>
        <w:pStyle w:val="ListParagraph"/>
        <w:numPr>
          <w:ilvl w:val="2"/>
          <w:numId w:val="3"/>
        </w:numPr>
      </w:pPr>
      <w:r>
        <w:t>governance of research.</w:t>
      </w:r>
    </w:p>
    <w:p w14:paraId="654C3EB6" w14:textId="77777777" w:rsidR="00B13EF3" w:rsidRPr="00B13EF3" w:rsidRDefault="00B13EF3" w:rsidP="00B13EF3">
      <w:pPr>
        <w:pStyle w:val="ListParagraph"/>
        <w:numPr>
          <w:ilvl w:val="1"/>
          <w:numId w:val="3"/>
        </w:numPr>
      </w:pPr>
      <w:r w:rsidRPr="00B13EF3">
        <w:lastRenderedPageBreak/>
        <w:t>The Research Ethics Sub-Committee shall take reasonable steps to ensure that the Research Code, as amended from time to time, is brought to the notice of all persons conducting research within or on behalf of the University.</w:t>
      </w:r>
    </w:p>
    <w:p w14:paraId="138F290C" w14:textId="77777777" w:rsidR="00B13EF3" w:rsidRPr="00B13EF3" w:rsidRDefault="00B13EF3" w:rsidP="00B13EF3">
      <w:pPr>
        <w:pStyle w:val="ListParagraph"/>
        <w:numPr>
          <w:ilvl w:val="1"/>
          <w:numId w:val="3"/>
        </w:numPr>
      </w:pPr>
      <w:r w:rsidRPr="00B13EF3">
        <w:t>All employees, students and visiting researchers of the University, including persons holding honorary University appointments, conducting research within, or on behalf of, the University must comply with these regulations, the Research Code and any reasonable direction (whether given generally or specifically) given by the Research Ethics Sub-Committee or their nominee regarding the conduct of research.</w:t>
      </w:r>
    </w:p>
    <w:p w14:paraId="198CA9B8" w14:textId="16F71610" w:rsidR="00B13EF3" w:rsidRDefault="00B13EF3" w:rsidP="00B13EF3">
      <w:pPr>
        <w:pStyle w:val="ListParagraph"/>
        <w:numPr>
          <w:ilvl w:val="1"/>
          <w:numId w:val="3"/>
        </w:numPr>
      </w:pPr>
      <w:r w:rsidRPr="00B13EF3">
        <w:t>Any infringement or attempted infringement of this regulation 2 or any rules or policies adopted pursuant to or published in accordance with these regulations shall be considered misconduct under the relevant disciplinary procedures of the University (for example, the Student Conduct regulations), unless otherwise dealt with by any such rules or policies.</w:t>
      </w:r>
    </w:p>
    <w:sectPr w:rsidR="00B13EF3"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8F7F" w14:textId="77777777" w:rsidR="00BD4559" w:rsidRDefault="00BD4559">
      <w:r>
        <w:separator/>
      </w:r>
    </w:p>
  </w:endnote>
  <w:endnote w:type="continuationSeparator" w:id="0">
    <w:p w14:paraId="270E9728" w14:textId="77777777" w:rsidR="00BD4559" w:rsidRDefault="00BD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6918"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16CF"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378D" w14:textId="77777777" w:rsidR="00BD4559" w:rsidRDefault="00BD4559">
      <w:r>
        <w:separator/>
      </w:r>
    </w:p>
  </w:footnote>
  <w:footnote w:type="continuationSeparator" w:id="0">
    <w:p w14:paraId="2892A4F3" w14:textId="77777777" w:rsidR="00BD4559" w:rsidRDefault="00BD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4FDA8"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486207AE" wp14:editId="73CD75CD">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F007B6"/>
    <w:multiLevelType w:val="multilevel"/>
    <w:tmpl w:val="AFD89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160349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iDm3XI3ZO0C4y+3X0LacTMkdRDKKNN9B/cyzZRHh/iCW82La9Tuu6BjPPfHyo+UiWwmTdEGPj1RITGV0cr45Zg==" w:salt="h15ex8+lKSO5bWvtCOiD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F"/>
    <w:rsid w:val="00017D1D"/>
    <w:rsid w:val="00030AD5"/>
    <w:rsid w:val="000C38F5"/>
    <w:rsid w:val="000E28EC"/>
    <w:rsid w:val="00105D3A"/>
    <w:rsid w:val="00137980"/>
    <w:rsid w:val="001A373A"/>
    <w:rsid w:val="001F3FB4"/>
    <w:rsid w:val="001F62F9"/>
    <w:rsid w:val="0036280D"/>
    <w:rsid w:val="003919E0"/>
    <w:rsid w:val="00450AD7"/>
    <w:rsid w:val="00480839"/>
    <w:rsid w:val="004E62FE"/>
    <w:rsid w:val="004F0F3A"/>
    <w:rsid w:val="00504C0D"/>
    <w:rsid w:val="00524066"/>
    <w:rsid w:val="005B3AE2"/>
    <w:rsid w:val="00603DE8"/>
    <w:rsid w:val="00615090"/>
    <w:rsid w:val="00624ABC"/>
    <w:rsid w:val="006745CC"/>
    <w:rsid w:val="00676313"/>
    <w:rsid w:val="006A24EC"/>
    <w:rsid w:val="007475CC"/>
    <w:rsid w:val="00773041"/>
    <w:rsid w:val="007B3224"/>
    <w:rsid w:val="007D1EBF"/>
    <w:rsid w:val="0087575A"/>
    <w:rsid w:val="008832E3"/>
    <w:rsid w:val="00891924"/>
    <w:rsid w:val="008B30B6"/>
    <w:rsid w:val="008B3866"/>
    <w:rsid w:val="009A7728"/>
    <w:rsid w:val="009E0205"/>
    <w:rsid w:val="00A071E2"/>
    <w:rsid w:val="00A15713"/>
    <w:rsid w:val="00A2455A"/>
    <w:rsid w:val="00A24E34"/>
    <w:rsid w:val="00A506BC"/>
    <w:rsid w:val="00A56677"/>
    <w:rsid w:val="00AB4137"/>
    <w:rsid w:val="00AF4CE7"/>
    <w:rsid w:val="00B13EF3"/>
    <w:rsid w:val="00B8086D"/>
    <w:rsid w:val="00B86E25"/>
    <w:rsid w:val="00BD4559"/>
    <w:rsid w:val="00C43240"/>
    <w:rsid w:val="00CB23AD"/>
    <w:rsid w:val="00CC00AB"/>
    <w:rsid w:val="00D06731"/>
    <w:rsid w:val="00D14D7F"/>
    <w:rsid w:val="00D2145D"/>
    <w:rsid w:val="00D32396"/>
    <w:rsid w:val="00DB153F"/>
    <w:rsid w:val="00DD715D"/>
    <w:rsid w:val="00E00319"/>
    <w:rsid w:val="00E239F5"/>
    <w:rsid w:val="00EB206A"/>
    <w:rsid w:val="00F946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FF5C"/>
  <w15:docId w15:val="{2444FFDE-1FFE-4D54-8E09-8EE4AFD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D14D7F"/>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D14D7F"/>
    <w:pPr>
      <w:spacing w:after="100"/>
    </w:pPr>
  </w:style>
  <w:style w:type="paragraph" w:styleId="TOC2">
    <w:name w:val="toc 2"/>
    <w:basedOn w:val="Normal"/>
    <w:next w:val="Normal"/>
    <w:autoRedefine/>
    <w:uiPriority w:val="39"/>
    <w:unhideWhenUsed/>
    <w:rsid w:val="00D14D7F"/>
    <w:pPr>
      <w:spacing w:after="100"/>
      <w:ind w:left="240"/>
    </w:pPr>
  </w:style>
  <w:style w:type="paragraph" w:styleId="TOC3">
    <w:name w:val="toc 3"/>
    <w:basedOn w:val="Normal"/>
    <w:next w:val="Normal"/>
    <w:autoRedefine/>
    <w:uiPriority w:val="39"/>
    <w:unhideWhenUsed/>
    <w:rsid w:val="00D14D7F"/>
    <w:pPr>
      <w:spacing w:after="100"/>
      <w:ind w:left="480"/>
    </w:pPr>
  </w:style>
  <w:style w:type="paragraph" w:styleId="Revision">
    <w:name w:val="Revision"/>
    <w:hidden/>
    <w:uiPriority w:val="99"/>
    <w:semiHidden/>
    <w:rsid w:val="008B30B6"/>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5C65-37DB-4C7E-A2C7-6C36F09277EF}">
  <ds:schemaRefs>
    <ds:schemaRef ds:uri="http://schemas.microsoft.com/sharepoint/v3/contenttype/forms"/>
  </ds:schemaRefs>
</ds:datastoreItem>
</file>

<file path=customXml/itemProps2.xml><?xml version="1.0" encoding="utf-8"?>
<ds:datastoreItem xmlns:ds="http://schemas.openxmlformats.org/officeDocument/2006/customXml" ds:itemID="{DB90FE7A-D021-4BBD-9C82-2A130F29F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83C5AA-DEC7-40FC-B31F-555B346F40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(5).dotx</Template>
  <TotalTime>0</TotalTime>
  <Pages>4</Pages>
  <Words>482</Words>
  <Characters>2752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14</cp:revision>
  <dcterms:created xsi:type="dcterms:W3CDTF">2022-08-12T11:41:00Z</dcterms:created>
  <dcterms:modified xsi:type="dcterms:W3CDTF">2024-08-11T17:59:00Z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