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6F60" w14:textId="7AF1D109" w:rsidR="008C15BA" w:rsidRPr="008C15BA" w:rsidRDefault="00504FB9" w:rsidP="008C15BA">
      <w:pPr>
        <w:pStyle w:val="NoSpacing"/>
        <w:rPr>
          <w:rFonts w:ascii="Arial" w:hAnsi="Arial" w:cs="Arial"/>
          <w:sz w:val="24"/>
          <w:szCs w:val="24"/>
        </w:rPr>
      </w:pPr>
      <w:r w:rsidRPr="008C15BA">
        <w:rPr>
          <w:rFonts w:ascii="Arial" w:eastAsia="Times New Roman" w:hAnsi="Arial" w:cs="Arial"/>
          <w:sz w:val="24"/>
          <w:szCs w:val="24"/>
        </w:rPr>
        <w:t xml:space="preserve">        </w:t>
      </w:r>
      <w:bookmarkStart w:id="0" w:name="_Hlk121749782"/>
      <w:r w:rsidR="008C15BA" w:rsidRPr="008C15BA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F24F6DE" wp14:editId="17C4D651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1444570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BA" w:rsidRPr="008C1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008FB7" w14:textId="77777777" w:rsidR="008C15BA" w:rsidRPr="008C15BA" w:rsidRDefault="008C15BA" w:rsidP="008C15BA">
      <w:pPr>
        <w:pStyle w:val="NoSpacing"/>
        <w:rPr>
          <w:rFonts w:ascii="Arial" w:hAnsi="Arial" w:cs="Arial"/>
          <w:sz w:val="24"/>
          <w:szCs w:val="24"/>
        </w:rPr>
      </w:pPr>
    </w:p>
    <w:p w14:paraId="15963128" w14:textId="77777777" w:rsidR="008C15BA" w:rsidRPr="008C15BA" w:rsidRDefault="008C15BA" w:rsidP="008C15BA">
      <w:pPr>
        <w:pStyle w:val="NoSpacing"/>
        <w:rPr>
          <w:rFonts w:ascii="Arial" w:hAnsi="Arial" w:cs="Arial"/>
          <w:sz w:val="24"/>
          <w:szCs w:val="24"/>
        </w:rPr>
      </w:pPr>
      <w:r w:rsidRPr="008C15BA">
        <w:rPr>
          <w:rFonts w:ascii="Arial" w:hAnsi="Arial" w:cs="Arial"/>
          <w:sz w:val="24"/>
          <w:szCs w:val="24"/>
        </w:rPr>
        <w:tab/>
      </w:r>
      <w:r w:rsidRPr="008C15BA">
        <w:rPr>
          <w:rFonts w:ascii="Arial" w:hAnsi="Arial" w:cs="Arial"/>
          <w:sz w:val="24"/>
          <w:szCs w:val="24"/>
        </w:rPr>
        <w:tab/>
      </w:r>
      <w:r w:rsidRPr="008C15BA">
        <w:rPr>
          <w:rFonts w:ascii="Arial" w:hAnsi="Arial" w:cs="Arial"/>
          <w:sz w:val="24"/>
          <w:szCs w:val="24"/>
        </w:rPr>
        <w:tab/>
      </w:r>
      <w:r w:rsidRPr="008C15BA">
        <w:rPr>
          <w:rFonts w:ascii="Arial" w:hAnsi="Arial" w:cs="Arial"/>
          <w:sz w:val="24"/>
          <w:szCs w:val="24"/>
        </w:rPr>
        <w:tab/>
      </w:r>
    </w:p>
    <w:p w14:paraId="3DE87E8F" w14:textId="77777777" w:rsidR="008C15BA" w:rsidRPr="008C15BA" w:rsidRDefault="008C15BA" w:rsidP="008C15BA">
      <w:pPr>
        <w:pStyle w:val="NoSpacing"/>
        <w:rPr>
          <w:rFonts w:ascii="Arial" w:hAnsi="Arial" w:cs="Arial"/>
          <w:sz w:val="24"/>
          <w:szCs w:val="24"/>
        </w:rPr>
      </w:pPr>
    </w:p>
    <w:p w14:paraId="1B4C022D" w14:textId="77777777" w:rsidR="008C15BA" w:rsidRPr="008C15BA" w:rsidRDefault="008C15BA" w:rsidP="008C15B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8C15BA" w:rsidRPr="008C15BA" w14:paraId="1FB8C11E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DFC441A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8C15BA">
              <w:rPr>
                <w:rFonts w:ascii="Arial" w:hAnsi="Arial" w:cs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61CD656C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8C15BA">
              <w:rPr>
                <w:rFonts w:ascii="Arial" w:hAnsi="Arial" w:cs="Arial"/>
                <w:b/>
                <w:sz w:val="32"/>
                <w:szCs w:val="32"/>
              </w:rPr>
              <w:t>July 2025</w:t>
            </w:r>
          </w:p>
        </w:tc>
      </w:tr>
    </w:tbl>
    <w:p w14:paraId="0DD5706C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8C15BA" w:rsidRPr="008C15BA" w14:paraId="4C928CA4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0468E83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Module code:</w:t>
            </w:r>
          </w:p>
          <w:p w14:paraId="3DD62908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0F1E5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Component number:</w:t>
            </w:r>
          </w:p>
          <w:p w14:paraId="457CBDCD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D8A329E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MC6092</w:t>
            </w:r>
          </w:p>
          <w:p w14:paraId="19C4CCBD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F335F" w14:textId="645E7BEB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C15BA" w:rsidRPr="008C15BA" w14:paraId="237A5FE4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D2A5435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Module title:</w:t>
            </w:r>
          </w:p>
          <w:p w14:paraId="4BED4CEB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9ACC124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Communication Theory</w:t>
            </w:r>
          </w:p>
        </w:tc>
      </w:tr>
      <w:tr w:rsidR="008C15BA" w:rsidRPr="008C15BA" w14:paraId="2C617D1D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8BD7131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Module leader:</w:t>
            </w:r>
          </w:p>
          <w:p w14:paraId="06AC2398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4DE39F1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Helen Gabriel</w:t>
            </w:r>
          </w:p>
        </w:tc>
      </w:tr>
    </w:tbl>
    <w:p w14:paraId="33097B9B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D7BA62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8C15BA" w:rsidRPr="008C15BA" w14:paraId="3D3C7CA0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816099C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707B6E80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A4B139E" w14:textId="52C804BE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July 2025</w:t>
            </w:r>
          </w:p>
        </w:tc>
      </w:tr>
      <w:tr w:rsidR="008C15BA" w:rsidRPr="008C15BA" w14:paraId="6D3D3A3F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66AFD97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  <w:p w14:paraId="718F59BA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2372268A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2 Hours</w:t>
            </w:r>
          </w:p>
        </w:tc>
      </w:tr>
    </w:tbl>
    <w:p w14:paraId="60F072FA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377D6D6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8C15BA" w:rsidRPr="008C15BA" w14:paraId="5F0A0469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7798671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7C276774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0EB8B525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bCs/>
                <w:sz w:val="24"/>
                <w:szCs w:val="24"/>
              </w:rPr>
              <w:t>Seen, Closed</w:t>
            </w:r>
          </w:p>
        </w:tc>
      </w:tr>
      <w:tr w:rsidR="008C15BA" w:rsidRPr="008C15BA" w14:paraId="460844B1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E582449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Materials supplied:</w:t>
            </w:r>
          </w:p>
          <w:p w14:paraId="3674CCD4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9E29F5B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Media examples (newspaper/magazine clippings) no notes allowed.</w:t>
            </w:r>
          </w:p>
        </w:tc>
      </w:tr>
      <w:tr w:rsidR="008C15BA" w:rsidRPr="008C15BA" w14:paraId="46BBDB16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64023F3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25AFFF77" w14:textId="77777777" w:rsidR="008C15BA" w:rsidRPr="008C15BA" w:rsidRDefault="008C15BA" w:rsidP="008C15BA">
            <w:pPr>
              <w:pStyle w:val="NoSpacing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eastAsia="Arial" w:hAnsi="Arial" w:cs="Arial"/>
                <w:b/>
                <w:sz w:val="24"/>
                <w:szCs w:val="24"/>
              </w:rPr>
              <w:t>None</w:t>
            </w:r>
          </w:p>
          <w:p w14:paraId="6BE83811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BA" w:rsidRPr="008C15BA" w14:paraId="1F870A3F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FD0BF06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763D0F76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1AA0C76A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50EEDA6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8C15BA" w:rsidRPr="008C15BA" w14:paraId="1C5172CB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8BFBF5D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Instructions to candidates:</w:t>
            </w:r>
          </w:p>
        </w:tc>
        <w:tc>
          <w:tcPr>
            <w:tcW w:w="6514" w:type="dxa"/>
          </w:tcPr>
          <w:p w14:paraId="7F1D2640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Candidates should answer TWO questions in essay format.</w:t>
            </w:r>
          </w:p>
        </w:tc>
      </w:tr>
      <w:tr w:rsidR="008C15BA" w:rsidRPr="008C15BA" w14:paraId="21CB6E1D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BAD8DDD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C28595C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904D9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ONE question in part A</w:t>
            </w:r>
          </w:p>
          <w:p w14:paraId="663BDE48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4"/>
                <w:szCs w:val="24"/>
              </w:rPr>
              <w:t>&amp; ONE question in part B</w:t>
            </w:r>
          </w:p>
        </w:tc>
      </w:tr>
      <w:tr w:rsidR="008C15BA" w:rsidRPr="008C15BA" w14:paraId="2446D0BD" w14:textId="77777777" w:rsidTr="00E857B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44C0EFA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4E74863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0E750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5BA" w:rsidRPr="008C15BA" w14:paraId="322F708E" w14:textId="77777777" w:rsidTr="00E857B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4BC2B30F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75C1C78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BCEF26" w14:textId="77777777" w:rsidR="008C15BA" w:rsidRPr="008C15BA" w:rsidRDefault="008C15BA" w:rsidP="008C15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C15BA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60FDB2DA" w14:textId="77777777" w:rsidR="008C15BA" w:rsidRPr="008C15BA" w:rsidRDefault="008C15BA" w:rsidP="008C15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C34908" w14:textId="77777777" w:rsidR="008C15BA" w:rsidRPr="008C15BA" w:rsidRDefault="008C15BA" w:rsidP="008C15BA">
      <w:pPr>
        <w:pStyle w:val="NoSpacing"/>
        <w:rPr>
          <w:rFonts w:ascii="Arial" w:hAnsi="Arial" w:cs="Arial"/>
        </w:rPr>
      </w:pPr>
      <w:r w:rsidRPr="008C15BA">
        <w:rPr>
          <w:rFonts w:ascii="Arial" w:hAnsi="Arial" w:cs="Arial"/>
        </w:rPr>
        <w:t>© London Metropolitan University</w:t>
      </w:r>
      <w:r w:rsidRPr="008C15BA">
        <w:rPr>
          <w:rFonts w:ascii="Arial" w:hAnsi="Arial" w:cs="Arial"/>
        </w:rPr>
        <w:tab/>
      </w:r>
    </w:p>
    <w:bookmarkEnd w:id="0"/>
    <w:bookmarkEnd w:id="1"/>
    <w:p w14:paraId="47E7D208" w14:textId="01D5B112" w:rsidR="006C6282" w:rsidRDefault="006C6282" w:rsidP="008C15BA">
      <w:pPr>
        <w:spacing w:after="0" w:line="240" w:lineRule="auto"/>
      </w:pPr>
    </w:p>
    <w:p w14:paraId="4504F3CC" w14:textId="77777777" w:rsidR="00632434" w:rsidRDefault="00632434" w:rsidP="008C15BA">
      <w:pPr>
        <w:spacing w:after="0" w:line="240" w:lineRule="auto"/>
      </w:pPr>
    </w:p>
    <w:p w14:paraId="10F4E806" w14:textId="77777777" w:rsidR="00632434" w:rsidRDefault="00632434" w:rsidP="008C15BA">
      <w:pPr>
        <w:spacing w:after="0" w:line="240" w:lineRule="auto"/>
      </w:pPr>
    </w:p>
    <w:p w14:paraId="182059FD" w14:textId="77777777" w:rsidR="00744692" w:rsidRDefault="00744692"/>
    <w:p w14:paraId="53950322" w14:textId="5C905900" w:rsidR="00504FB9" w:rsidRPr="0077525A" w:rsidRDefault="00504FB9" w:rsidP="00504FB9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83D2C">
        <w:rPr>
          <w:rFonts w:eastAsia="Times New Roman" w:cstheme="minorHAnsi"/>
          <w:b/>
          <w:sz w:val="28"/>
          <w:szCs w:val="28"/>
        </w:rPr>
        <w:lastRenderedPageBreak/>
        <w:t>MC</w:t>
      </w:r>
      <w:r w:rsidR="00D83D2C" w:rsidRPr="00D83D2C">
        <w:rPr>
          <w:rFonts w:eastAsia="Times New Roman" w:cstheme="minorHAnsi"/>
          <w:b/>
          <w:sz w:val="28"/>
          <w:szCs w:val="28"/>
        </w:rPr>
        <w:t>6092 Communication</w:t>
      </w:r>
      <w:r w:rsidRPr="00D83D2C">
        <w:rPr>
          <w:rFonts w:eastAsia="Times New Roman" w:cstheme="minorHAnsi"/>
          <w:b/>
          <w:sz w:val="28"/>
          <w:szCs w:val="28"/>
        </w:rPr>
        <w:t xml:space="preserve"> </w:t>
      </w:r>
      <w:r w:rsidR="00CD0B70" w:rsidRPr="00D83D2C">
        <w:rPr>
          <w:rFonts w:eastAsia="Times New Roman" w:cstheme="minorHAnsi"/>
          <w:b/>
          <w:sz w:val="28"/>
          <w:szCs w:val="28"/>
        </w:rPr>
        <w:t>Theory</w:t>
      </w:r>
      <w:r w:rsidR="00CD0B70">
        <w:rPr>
          <w:rFonts w:eastAsia="Times New Roman" w:cstheme="minorHAnsi"/>
          <w:b/>
          <w:sz w:val="28"/>
          <w:szCs w:val="28"/>
        </w:rPr>
        <w:t xml:space="preserve"> </w:t>
      </w:r>
      <w:r w:rsidR="009F5081" w:rsidRPr="0077525A">
        <w:rPr>
          <w:rFonts w:eastAsia="Times New Roman" w:cstheme="minorHAnsi"/>
          <w:b/>
          <w:sz w:val="28"/>
          <w:szCs w:val="28"/>
        </w:rPr>
        <w:t>July</w:t>
      </w:r>
      <w:r w:rsidR="009F5081">
        <w:rPr>
          <w:rFonts w:eastAsia="Times New Roman" w:cstheme="minorHAnsi"/>
          <w:b/>
          <w:sz w:val="28"/>
          <w:szCs w:val="28"/>
        </w:rPr>
        <w:t xml:space="preserve"> </w:t>
      </w:r>
      <w:r w:rsidR="009F5081" w:rsidRPr="0077525A">
        <w:rPr>
          <w:rFonts w:eastAsia="Times New Roman" w:cstheme="minorHAnsi"/>
          <w:b/>
          <w:sz w:val="28"/>
          <w:szCs w:val="28"/>
        </w:rPr>
        <w:t>2025</w:t>
      </w:r>
      <w:r w:rsidRPr="0077525A">
        <w:rPr>
          <w:rFonts w:eastAsia="Times New Roman" w:cstheme="minorHAnsi"/>
          <w:b/>
          <w:sz w:val="28"/>
          <w:szCs w:val="28"/>
        </w:rPr>
        <w:t xml:space="preserve"> </w:t>
      </w:r>
    </w:p>
    <w:p w14:paraId="3D7AC271" w14:textId="76A23ECB" w:rsidR="0049106D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Please answer TWO questions </w:t>
      </w:r>
      <w:r w:rsidR="00421E17">
        <w:rPr>
          <w:rFonts w:eastAsia="Calibri" w:cstheme="minorHAnsi"/>
          <w:b/>
          <w:sz w:val="28"/>
          <w:szCs w:val="28"/>
        </w:rPr>
        <w:t xml:space="preserve">ONLY </w:t>
      </w:r>
      <w:r w:rsidRPr="0077525A">
        <w:rPr>
          <w:rFonts w:eastAsia="Calibri" w:cstheme="minorHAnsi"/>
          <w:b/>
          <w:sz w:val="28"/>
          <w:szCs w:val="28"/>
        </w:rPr>
        <w:t xml:space="preserve">in essay format </w:t>
      </w:r>
    </w:p>
    <w:p w14:paraId="16A60B5E" w14:textId="41B45056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 </w:t>
      </w:r>
    </w:p>
    <w:p w14:paraId="230A7761" w14:textId="7F18A559" w:rsidR="00202467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ONE question in part A </w:t>
      </w:r>
      <w:r w:rsidR="00380DC4">
        <w:rPr>
          <w:rFonts w:eastAsia="Calibri" w:cstheme="minorHAnsi"/>
          <w:b/>
          <w:sz w:val="28"/>
          <w:szCs w:val="28"/>
        </w:rPr>
        <w:t xml:space="preserve">and </w:t>
      </w:r>
    </w:p>
    <w:p w14:paraId="339C3635" w14:textId="639282F4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ONE question in part B </w:t>
      </w:r>
    </w:p>
    <w:p w14:paraId="7B0ECAB8" w14:textId="748EF8B6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Each question has equal </w:t>
      </w:r>
      <w:r w:rsidR="0002432B" w:rsidRPr="0077525A">
        <w:rPr>
          <w:rFonts w:eastAsia="Calibri" w:cstheme="minorHAnsi"/>
          <w:b/>
          <w:sz w:val="28"/>
          <w:szCs w:val="28"/>
        </w:rPr>
        <w:t xml:space="preserve"> weighing</w:t>
      </w:r>
      <w:r w:rsidRPr="0077525A">
        <w:rPr>
          <w:rFonts w:eastAsia="Calibri" w:cstheme="minorHAnsi"/>
          <w:b/>
          <w:sz w:val="28"/>
          <w:szCs w:val="28"/>
        </w:rPr>
        <w:t xml:space="preserve">    50 Marks per question</w:t>
      </w:r>
    </w:p>
    <w:p w14:paraId="4EF0E4B1" w14:textId="77777777" w:rsidR="00CD0B70" w:rsidRDefault="00CD0B70" w:rsidP="0077525A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9460783" w14:textId="65A03A7E" w:rsidR="0002432B" w:rsidRPr="00744692" w:rsidRDefault="0002432B" w:rsidP="0077525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744692">
        <w:rPr>
          <w:rFonts w:cstheme="minorHAnsi"/>
          <w:b/>
          <w:bCs/>
          <w:sz w:val="28"/>
          <w:szCs w:val="28"/>
        </w:rPr>
        <w:t xml:space="preserve">Please answer </w:t>
      </w:r>
      <w:r w:rsidR="00D60191" w:rsidRPr="00744692">
        <w:rPr>
          <w:rFonts w:cstheme="minorHAnsi"/>
          <w:b/>
          <w:bCs/>
          <w:sz w:val="28"/>
          <w:szCs w:val="28"/>
        </w:rPr>
        <w:t>ONE</w:t>
      </w:r>
      <w:r w:rsidRPr="00744692">
        <w:rPr>
          <w:rFonts w:cstheme="minorHAnsi"/>
          <w:b/>
          <w:bCs/>
          <w:sz w:val="28"/>
          <w:szCs w:val="28"/>
        </w:rPr>
        <w:t xml:space="preserve"> question in part A</w:t>
      </w:r>
    </w:p>
    <w:p w14:paraId="6656F007" w14:textId="7005A7E2" w:rsidR="00301C83" w:rsidRDefault="00301C83" w:rsidP="00301C83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A1</w:t>
      </w:r>
      <w:r w:rsidR="0074469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44692">
        <w:rPr>
          <w:rFonts w:cstheme="minorHAnsi"/>
          <w:sz w:val="24"/>
          <w:szCs w:val="24"/>
        </w:rPr>
        <w:t>Critica</w:t>
      </w:r>
      <w:r w:rsidR="003C10F6">
        <w:rPr>
          <w:rFonts w:cstheme="minorHAnsi"/>
          <w:sz w:val="24"/>
          <w:szCs w:val="24"/>
        </w:rPr>
        <w:t>lly</w:t>
      </w:r>
      <w:r w:rsidRPr="00744692">
        <w:rPr>
          <w:rFonts w:cstheme="minorHAnsi"/>
          <w:sz w:val="24"/>
          <w:szCs w:val="24"/>
        </w:rPr>
        <w:t xml:space="preserve"> discuss the current day relevance  </w:t>
      </w:r>
      <w:r w:rsidR="00E91DB4" w:rsidRPr="00744692">
        <w:rPr>
          <w:rFonts w:cstheme="minorHAnsi"/>
          <w:sz w:val="24"/>
          <w:szCs w:val="24"/>
        </w:rPr>
        <w:t xml:space="preserve">of the </w:t>
      </w:r>
      <w:r w:rsidR="00C3398C" w:rsidRPr="00744692">
        <w:rPr>
          <w:rFonts w:cstheme="minorHAnsi"/>
          <w:sz w:val="24"/>
          <w:szCs w:val="24"/>
        </w:rPr>
        <w:t>structuralist perspective of  advertising</w:t>
      </w:r>
      <w:r w:rsidR="00E91DB4" w:rsidRPr="00744692">
        <w:rPr>
          <w:rFonts w:cstheme="minorHAnsi"/>
          <w:sz w:val="24"/>
          <w:szCs w:val="24"/>
        </w:rPr>
        <w:t xml:space="preserve"> and  Roland Barthes contribution to the structuralist perspective</w:t>
      </w:r>
      <w:r w:rsidR="00F760DF">
        <w:rPr>
          <w:rFonts w:cstheme="minorHAnsi"/>
          <w:sz w:val="24"/>
          <w:szCs w:val="24"/>
        </w:rPr>
        <w:t>?</w:t>
      </w:r>
      <w:r w:rsidRPr="00744692">
        <w:rPr>
          <w:rFonts w:cstheme="minorHAnsi"/>
          <w:sz w:val="24"/>
          <w:szCs w:val="24"/>
        </w:rPr>
        <w:t xml:space="preserve"> Illustrate your answer with  the use of appropriate  contemporary campaign examples</w:t>
      </w:r>
      <w:r w:rsidR="00940D3C">
        <w:rPr>
          <w:rFonts w:cstheme="minorHAnsi"/>
          <w:sz w:val="24"/>
          <w:szCs w:val="24"/>
        </w:rPr>
        <w:t>.</w:t>
      </w:r>
    </w:p>
    <w:p w14:paraId="4D48BD00" w14:textId="73760A2B" w:rsidR="00301C83" w:rsidRDefault="00301C83" w:rsidP="00301C83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44692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b/>
          <w:bCs/>
          <w:sz w:val="24"/>
          <w:szCs w:val="24"/>
        </w:rPr>
        <w:t xml:space="preserve">    50 Marks </w:t>
      </w:r>
    </w:p>
    <w:p w14:paraId="174B50EE" w14:textId="77777777" w:rsidR="00744692" w:rsidRDefault="00744692" w:rsidP="009F5B9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B7D986" w14:textId="3A6D0192" w:rsidR="00D83D2C" w:rsidRPr="00D83D2C" w:rsidRDefault="00301C83" w:rsidP="00D83D2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A2</w:t>
      </w:r>
      <w:r w:rsidR="009F5B95">
        <w:rPr>
          <w:rFonts w:cstheme="minorHAnsi"/>
          <w:b/>
          <w:bCs/>
          <w:sz w:val="24"/>
          <w:szCs w:val="24"/>
        </w:rPr>
        <w:t>.</w:t>
      </w:r>
      <w:r w:rsidR="00F11EFA">
        <w:rPr>
          <w:rFonts w:cstheme="minorHAnsi"/>
          <w:b/>
          <w:bCs/>
          <w:sz w:val="24"/>
          <w:szCs w:val="24"/>
        </w:rPr>
        <w:t xml:space="preserve"> </w:t>
      </w:r>
      <w:r w:rsidR="00D83D2C" w:rsidRPr="00D83D2C">
        <w:rPr>
          <w:rFonts w:cstheme="minorHAnsi"/>
          <w:sz w:val="24"/>
          <w:szCs w:val="24"/>
        </w:rPr>
        <w:t xml:space="preserve">Rapidly shifting demographics demand that public relations professionals be attuned to demographic diversity so they can communicate competently with their audiences’ . Critically discuss the factors which contribute and effect the way the public relations profession address diversity and inclusion.   Illustrate your answer with appropriate examples.                                                                                                                 </w:t>
      </w:r>
    </w:p>
    <w:p w14:paraId="7B8F90EB" w14:textId="6E20E16A" w:rsidR="009F5B95" w:rsidRPr="00744692" w:rsidRDefault="00D83D2C" w:rsidP="00D83D2C">
      <w:pPr>
        <w:spacing w:after="0" w:line="240" w:lineRule="auto"/>
        <w:rPr>
          <w:rFonts w:cstheme="minorHAnsi"/>
          <w:sz w:val="24"/>
          <w:szCs w:val="24"/>
        </w:rPr>
      </w:pPr>
      <w:r w:rsidRPr="00D83D2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50 Marks</w:t>
      </w:r>
    </w:p>
    <w:p w14:paraId="4CFB5DFA" w14:textId="7E748389" w:rsidR="009F5B95" w:rsidRDefault="009F5B95" w:rsidP="009F5B9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F5B95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44692">
        <w:rPr>
          <w:rFonts w:cstheme="minorHAnsi"/>
          <w:b/>
          <w:bCs/>
          <w:sz w:val="24"/>
          <w:szCs w:val="24"/>
        </w:rPr>
        <w:t xml:space="preserve">     </w:t>
      </w:r>
      <w:r w:rsidRPr="009F5B95">
        <w:rPr>
          <w:rFonts w:cstheme="minorHAnsi"/>
          <w:b/>
          <w:bCs/>
          <w:sz w:val="24"/>
          <w:szCs w:val="24"/>
        </w:rPr>
        <w:t xml:space="preserve"> </w:t>
      </w:r>
      <w:r w:rsidR="00744692">
        <w:rPr>
          <w:rFonts w:cstheme="minorHAnsi"/>
          <w:b/>
          <w:bCs/>
          <w:sz w:val="24"/>
          <w:szCs w:val="24"/>
        </w:rPr>
        <w:t xml:space="preserve"> </w:t>
      </w:r>
      <w:r w:rsidRPr="009F5B95">
        <w:rPr>
          <w:rFonts w:cstheme="minorHAnsi"/>
          <w:b/>
          <w:bCs/>
          <w:sz w:val="24"/>
          <w:szCs w:val="24"/>
        </w:rPr>
        <w:t xml:space="preserve">      </w:t>
      </w:r>
    </w:p>
    <w:p w14:paraId="123F6798" w14:textId="3684C574" w:rsidR="00744692" w:rsidRPr="00744692" w:rsidRDefault="00744692" w:rsidP="009F5B95">
      <w:pPr>
        <w:spacing w:line="240" w:lineRule="auto"/>
        <w:rPr>
          <w:rFonts w:cstheme="minorHAnsi"/>
          <w:sz w:val="24"/>
          <w:szCs w:val="24"/>
        </w:rPr>
      </w:pPr>
      <w:r w:rsidRPr="00744692">
        <w:rPr>
          <w:rFonts w:cstheme="minorHAnsi"/>
          <w:b/>
          <w:bCs/>
          <w:sz w:val="24"/>
          <w:szCs w:val="24"/>
        </w:rPr>
        <w:t xml:space="preserve">A3. </w:t>
      </w:r>
      <w:r w:rsidRPr="00744692">
        <w:rPr>
          <w:rFonts w:cstheme="minorHAnsi"/>
          <w:sz w:val="24"/>
          <w:szCs w:val="24"/>
        </w:rPr>
        <w:t>Analytically we can distinguish two elements in news source situations: the  sources purpose in entering the news encounter and the techniques used by sources for realizing their purpose’ (Palmer, 2000:47) Critically discuss and explain the relationship between source and motives using Palmer’s classifications</w:t>
      </w:r>
      <w:r w:rsidR="00F760DF">
        <w:rPr>
          <w:rFonts w:cstheme="minorHAnsi"/>
          <w:sz w:val="24"/>
          <w:szCs w:val="24"/>
        </w:rPr>
        <w:t>?</w:t>
      </w:r>
      <w:r w:rsidRPr="00744692">
        <w:rPr>
          <w:rFonts w:cstheme="minorHAnsi"/>
          <w:sz w:val="24"/>
          <w:szCs w:val="24"/>
        </w:rPr>
        <w:t xml:space="preserve"> Illustrate these motives using recent, original example</w:t>
      </w:r>
    </w:p>
    <w:p w14:paraId="0C5577BB" w14:textId="1077499B" w:rsidR="002E1605" w:rsidRPr="00744692" w:rsidRDefault="00744692" w:rsidP="0077525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</w:t>
      </w:r>
      <w:r w:rsidRPr="00744692">
        <w:rPr>
          <w:rFonts w:asciiTheme="minorHAnsi" w:hAnsiTheme="minorHAnsi" w:cstheme="minorHAnsi"/>
          <w:b/>
          <w:bCs/>
        </w:rPr>
        <w:t>50 Marks</w:t>
      </w:r>
    </w:p>
    <w:p w14:paraId="7B09B03C" w14:textId="77777777" w:rsidR="00744692" w:rsidRDefault="00744692" w:rsidP="0077525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E47240" w14:textId="12BD7DFE" w:rsidR="00504FB9" w:rsidRPr="00744692" w:rsidRDefault="00504FB9" w:rsidP="0077525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744692">
        <w:rPr>
          <w:rFonts w:cstheme="minorHAnsi"/>
          <w:b/>
          <w:bCs/>
          <w:sz w:val="28"/>
          <w:szCs w:val="28"/>
        </w:rPr>
        <w:t xml:space="preserve">Please answer </w:t>
      </w:r>
      <w:r w:rsidR="00D60191" w:rsidRPr="00744692">
        <w:rPr>
          <w:rFonts w:cstheme="minorHAnsi"/>
          <w:b/>
          <w:bCs/>
          <w:sz w:val="28"/>
          <w:szCs w:val="28"/>
        </w:rPr>
        <w:t xml:space="preserve">ONE </w:t>
      </w:r>
      <w:r w:rsidRPr="00744692">
        <w:rPr>
          <w:rFonts w:cstheme="minorHAnsi"/>
          <w:b/>
          <w:bCs/>
          <w:sz w:val="28"/>
          <w:szCs w:val="28"/>
        </w:rPr>
        <w:t xml:space="preserve">question in part B </w:t>
      </w:r>
    </w:p>
    <w:p w14:paraId="29B23F05" w14:textId="0929C722" w:rsidR="00D83D2C" w:rsidRPr="00D83D2C" w:rsidRDefault="00F83340" w:rsidP="00D83D2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B1</w:t>
      </w:r>
      <w:r w:rsidR="0074469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83D2C" w:rsidRPr="00D83D2C">
        <w:rPr>
          <w:rFonts w:cstheme="minorHAnsi"/>
          <w:sz w:val="24"/>
          <w:szCs w:val="24"/>
        </w:rPr>
        <w:t>Explain and discuss the philosophical ethical issues behind codes and ethical policies in the professional practice of PR. Critically discuss whether ethical claims are truer in theory than in practice</w:t>
      </w:r>
    </w:p>
    <w:p w14:paraId="47AB0894" w14:textId="3CFC1588" w:rsidR="00F83340" w:rsidRDefault="00D83D2C" w:rsidP="0074469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83340" w:rsidRPr="00F83340">
        <w:rPr>
          <w:rFonts w:cstheme="minorHAnsi"/>
          <w:b/>
          <w:bCs/>
          <w:sz w:val="24"/>
          <w:szCs w:val="24"/>
        </w:rPr>
        <w:t xml:space="preserve">50 Mark </w:t>
      </w:r>
    </w:p>
    <w:p w14:paraId="78AB1AD9" w14:textId="5682240F" w:rsidR="0049106D" w:rsidRPr="00F57F18" w:rsidRDefault="00F57F18" w:rsidP="00F57F18">
      <w:pPr>
        <w:pStyle w:val="Default"/>
        <w:rPr>
          <w:rFonts w:asciiTheme="minorHAnsi" w:hAnsiTheme="minorHAnsi" w:cstheme="minorHAnsi"/>
          <w:b/>
          <w:bCs/>
        </w:rPr>
      </w:pPr>
      <w:r w:rsidRPr="00F57F18">
        <w:rPr>
          <w:rFonts w:asciiTheme="minorHAnsi" w:hAnsiTheme="minorHAnsi" w:cstheme="minorHAnsi"/>
          <w:b/>
          <w:bCs/>
        </w:rPr>
        <w:t>B2</w:t>
      </w:r>
      <w:r w:rsidR="0062602C">
        <w:rPr>
          <w:rFonts w:asciiTheme="minorHAnsi" w:hAnsiTheme="minorHAnsi" w:cstheme="minorHAnsi"/>
          <w:b/>
          <w:bCs/>
        </w:rPr>
        <w:t>.</w:t>
      </w:r>
      <w:r w:rsidRPr="00F57F18">
        <w:rPr>
          <w:rFonts w:asciiTheme="minorHAnsi" w:hAnsiTheme="minorHAnsi" w:cstheme="minorHAnsi"/>
          <w:b/>
          <w:bCs/>
        </w:rPr>
        <w:t xml:space="preserve"> </w:t>
      </w:r>
      <w:r w:rsidRPr="00744692">
        <w:rPr>
          <w:rFonts w:asciiTheme="minorHAnsi" w:hAnsiTheme="minorHAnsi" w:cstheme="minorHAnsi"/>
        </w:rPr>
        <w:t xml:space="preserve">Explain and critically discuss Herman and Chomsky (1988) Propaganda model (PM). How relevant is the model to day?  </w:t>
      </w:r>
      <w:bookmarkStart w:id="2" w:name="_Hlk152689483"/>
      <w:r w:rsidRPr="00744692">
        <w:rPr>
          <w:rFonts w:asciiTheme="minorHAnsi" w:hAnsiTheme="minorHAnsi" w:cstheme="minorHAnsi"/>
        </w:rPr>
        <w:t>Illustrate &amp; support your answer with examples</w:t>
      </w:r>
      <w:bookmarkEnd w:id="2"/>
      <w:r w:rsidR="0049106D" w:rsidRPr="00744692">
        <w:rPr>
          <w:rFonts w:asciiTheme="minorHAnsi" w:hAnsiTheme="minorHAnsi" w:cstheme="minorHAnsi"/>
        </w:rPr>
        <w:t>.</w:t>
      </w:r>
      <w:r w:rsidR="0049106D" w:rsidRPr="00F57F18">
        <w:rPr>
          <w:rFonts w:asciiTheme="minorHAnsi" w:hAnsiTheme="minorHAnsi" w:cstheme="minorHAnsi"/>
          <w:b/>
          <w:bCs/>
        </w:rPr>
        <w:t xml:space="preserve"> </w:t>
      </w:r>
    </w:p>
    <w:p w14:paraId="361F7C12" w14:textId="60ED363D" w:rsidR="0049106D" w:rsidRDefault="0049106D" w:rsidP="0077525A">
      <w:pPr>
        <w:spacing w:line="240" w:lineRule="auto"/>
        <w:rPr>
          <w:rFonts w:cstheme="minorHAnsi"/>
          <w:b/>
          <w:bCs/>
          <w:sz w:val="24"/>
          <w:szCs w:val="24"/>
        </w:rPr>
      </w:pPr>
      <w:bookmarkStart w:id="3" w:name="_Hlk152859022"/>
      <w:r w:rsidRPr="00B431B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917F7" w:rsidRPr="00B431B9">
        <w:rPr>
          <w:rFonts w:cstheme="minorHAnsi"/>
          <w:sz w:val="24"/>
          <w:szCs w:val="24"/>
        </w:rPr>
        <w:t xml:space="preserve">      </w:t>
      </w:r>
      <w:r w:rsidRPr="00B431B9">
        <w:rPr>
          <w:rFonts w:cstheme="minorHAnsi"/>
          <w:sz w:val="24"/>
          <w:szCs w:val="24"/>
        </w:rPr>
        <w:t xml:space="preserve">  </w:t>
      </w:r>
      <w:r w:rsidRPr="00B431B9">
        <w:rPr>
          <w:rFonts w:cstheme="minorHAnsi"/>
          <w:b/>
          <w:bCs/>
          <w:sz w:val="24"/>
          <w:szCs w:val="24"/>
        </w:rPr>
        <w:t>50 Marks</w:t>
      </w:r>
    </w:p>
    <w:p w14:paraId="447C4A84" w14:textId="77777777" w:rsidR="00F760DF" w:rsidRPr="00B431B9" w:rsidRDefault="00F760DF" w:rsidP="00F760DF">
      <w:pPr>
        <w:spacing w:line="240" w:lineRule="auto"/>
        <w:rPr>
          <w:rFonts w:cstheme="minorHAnsi"/>
          <w:b/>
          <w:bCs/>
          <w:sz w:val="24"/>
          <w:szCs w:val="24"/>
        </w:rPr>
      </w:pPr>
    </w:p>
    <w:bookmarkEnd w:id="3"/>
    <w:p w14:paraId="0159BF8F" w14:textId="77777777" w:rsidR="00106B83" w:rsidRDefault="0062602C" w:rsidP="00CD0B70">
      <w:pPr>
        <w:spacing w:after="200" w:line="240" w:lineRule="auto"/>
        <w:rPr>
          <w:rFonts w:cstheme="minorHAnsi"/>
          <w:b/>
          <w:bCs/>
        </w:rPr>
      </w:pPr>
      <w:r w:rsidRPr="00744692">
        <w:rPr>
          <w:rFonts w:ascii="Calibri" w:eastAsia="Calibri" w:hAnsi="Calibri" w:cs="Calibri"/>
          <w:b/>
          <w:bCs/>
          <w:sz w:val="24"/>
          <w:szCs w:val="24"/>
        </w:rPr>
        <w:t>B3</w:t>
      </w:r>
      <w:r w:rsidR="00744692">
        <w:rPr>
          <w:rFonts w:ascii="Calibri" w:eastAsia="Calibri" w:hAnsi="Calibri" w:cs="Calibri"/>
          <w:sz w:val="24"/>
          <w:szCs w:val="24"/>
        </w:rPr>
        <w:t>.</w:t>
      </w:r>
      <w:r w:rsidR="00515C96">
        <w:rPr>
          <w:rFonts w:ascii="Calibri" w:eastAsia="Calibri" w:hAnsi="Calibri" w:cs="Calibri"/>
          <w:sz w:val="24"/>
          <w:szCs w:val="24"/>
        </w:rPr>
        <w:t xml:space="preserve"> ‘T</w:t>
      </w:r>
      <w:r w:rsidR="00515C96" w:rsidRPr="00515C96">
        <w:rPr>
          <w:rFonts w:ascii="Calibri" w:eastAsia="Calibri" w:hAnsi="Calibri" w:cs="Calibri"/>
          <w:sz w:val="24"/>
          <w:szCs w:val="24"/>
        </w:rPr>
        <w:t>he emergence of social media contributes to the tendency of blurring the boundaries between the public and the private</w:t>
      </w:r>
      <w:r w:rsidR="00515C96">
        <w:rPr>
          <w:rFonts w:ascii="Calibri" w:eastAsia="Calibri" w:hAnsi="Calibri" w:cs="Calibri"/>
          <w:sz w:val="24"/>
          <w:szCs w:val="24"/>
        </w:rPr>
        <w:t xml:space="preserve"> sphere’</w:t>
      </w:r>
      <w:r w:rsidR="00515C96" w:rsidRPr="00515C96">
        <w:t xml:space="preserve"> </w:t>
      </w:r>
      <w:r w:rsidR="00515C96" w:rsidRPr="00515C96">
        <w:rPr>
          <w:rFonts w:ascii="Calibri" w:eastAsia="Calibri" w:hAnsi="Calibri" w:cs="Calibri"/>
          <w:sz w:val="24"/>
          <w:szCs w:val="24"/>
        </w:rPr>
        <w:t>Salikov</w:t>
      </w:r>
      <w:r w:rsidR="00515C96">
        <w:rPr>
          <w:rFonts w:ascii="Calibri" w:eastAsia="Calibri" w:hAnsi="Calibri" w:cs="Calibri"/>
          <w:sz w:val="24"/>
          <w:szCs w:val="24"/>
        </w:rPr>
        <w:t xml:space="preserve"> 2018 p</w:t>
      </w:r>
      <w:r w:rsidR="00A44710">
        <w:rPr>
          <w:rFonts w:ascii="Calibri" w:eastAsia="Calibri" w:hAnsi="Calibri" w:cs="Calibri"/>
          <w:sz w:val="24"/>
          <w:szCs w:val="24"/>
        </w:rPr>
        <w:t>91.</w:t>
      </w:r>
      <w:r w:rsidR="00A44710" w:rsidRPr="00A44710">
        <w:t xml:space="preserve"> </w:t>
      </w:r>
      <w:r w:rsidR="00A44710" w:rsidRPr="00A44710">
        <w:rPr>
          <w:rFonts w:ascii="Calibri" w:eastAsia="Calibri" w:hAnsi="Calibri" w:cs="Calibri"/>
          <w:sz w:val="24"/>
          <w:szCs w:val="24"/>
        </w:rPr>
        <w:t>Explain and critically discuss</w:t>
      </w:r>
      <w:r w:rsidR="00A44710" w:rsidRPr="00A44710">
        <w:t xml:space="preserve"> </w:t>
      </w:r>
      <w:r w:rsidR="00A44710">
        <w:t xml:space="preserve"> how </w:t>
      </w:r>
      <w:r w:rsidR="00A44710" w:rsidRPr="00A44710">
        <w:t>Jürgen Haberma</w:t>
      </w:r>
      <w:r w:rsidR="00A44710">
        <w:t xml:space="preserve">s </w:t>
      </w:r>
      <w:r w:rsidR="00A44710" w:rsidRPr="00A44710">
        <w:rPr>
          <w:rFonts w:ascii="Calibri" w:eastAsia="Calibri" w:hAnsi="Calibri" w:cs="Calibri"/>
          <w:sz w:val="24"/>
          <w:szCs w:val="24"/>
        </w:rPr>
        <w:t>classic concept of the public sphere</w:t>
      </w:r>
      <w:r w:rsidR="00A44710">
        <w:rPr>
          <w:rFonts w:ascii="Calibri" w:eastAsia="Calibri" w:hAnsi="Calibri" w:cs="Calibri"/>
          <w:sz w:val="24"/>
          <w:szCs w:val="24"/>
        </w:rPr>
        <w:t xml:space="preserve">  is  being transformed  through the use of social media</w:t>
      </w:r>
      <w:r w:rsidR="00F760DF">
        <w:rPr>
          <w:rFonts w:ascii="Calibri" w:eastAsia="Calibri" w:hAnsi="Calibri" w:cs="Calibri"/>
          <w:sz w:val="24"/>
          <w:szCs w:val="24"/>
        </w:rPr>
        <w:t xml:space="preserve"> ?</w:t>
      </w:r>
      <w:r w:rsidR="00A44710" w:rsidRPr="00C3398C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A44710" w:rsidRPr="00744692">
        <w:rPr>
          <w:rFonts w:cstheme="minorHAnsi"/>
        </w:rPr>
        <w:t xml:space="preserve">Illustrate &amp; support </w:t>
      </w:r>
      <w:r w:rsidR="00CD0B70" w:rsidRPr="00744692">
        <w:rPr>
          <w:rFonts w:cstheme="minorHAnsi"/>
        </w:rPr>
        <w:t>your discussion with</w:t>
      </w:r>
      <w:r w:rsidR="00A44710" w:rsidRPr="00744692">
        <w:rPr>
          <w:rFonts w:cstheme="minorHAnsi"/>
        </w:rPr>
        <w:t xml:space="preserve"> current examples</w:t>
      </w:r>
      <w:r w:rsidR="00A44710" w:rsidRPr="00CD0B70">
        <w:rPr>
          <w:rFonts w:cstheme="minorHAnsi"/>
          <w:b/>
          <w:bCs/>
        </w:rPr>
        <w:t>.</w:t>
      </w:r>
      <w:r w:rsidR="00744692" w:rsidRPr="00CD0B70">
        <w:rPr>
          <w:rFonts w:cstheme="minorHAnsi"/>
          <w:b/>
          <w:bCs/>
        </w:rPr>
        <w:t xml:space="preserve">     </w:t>
      </w:r>
      <w:r w:rsidR="00CD0B70" w:rsidRPr="00CD0B70">
        <w:rPr>
          <w:rFonts w:cstheme="minorHAnsi"/>
          <w:b/>
          <w:bCs/>
        </w:rPr>
        <w:t xml:space="preserve">  </w:t>
      </w:r>
    </w:p>
    <w:p w14:paraId="09FF951A" w14:textId="5DA232EF" w:rsidR="00D83D2C" w:rsidRPr="00106B83" w:rsidRDefault="00106B83" w:rsidP="00CD0B70">
      <w:pPr>
        <w:spacing w:after="20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</w:t>
      </w:r>
      <w:r w:rsidR="00CD0B70" w:rsidRPr="00CD0B70">
        <w:rPr>
          <w:rFonts w:cstheme="minorHAnsi"/>
          <w:b/>
          <w:bCs/>
        </w:rPr>
        <w:t xml:space="preserve">           </w:t>
      </w:r>
      <w:r w:rsidR="00744692" w:rsidRPr="00CD0B70">
        <w:rPr>
          <w:rFonts w:cstheme="minorHAnsi"/>
          <w:b/>
          <w:bCs/>
        </w:rPr>
        <w:t xml:space="preserve"> </w:t>
      </w:r>
      <w:r w:rsidR="00CD0B70" w:rsidRPr="00CD0B70">
        <w:rPr>
          <w:rFonts w:cstheme="minorHAnsi"/>
          <w:b/>
          <w:bCs/>
        </w:rPr>
        <w:t xml:space="preserve"> </w:t>
      </w:r>
      <w:r w:rsidR="00CD0B70" w:rsidRPr="00106B83">
        <w:rPr>
          <w:rFonts w:cstheme="minorHAnsi"/>
          <w:b/>
          <w:bCs/>
          <w:sz w:val="24"/>
          <w:szCs w:val="24"/>
        </w:rPr>
        <w:t>50 Marks</w:t>
      </w:r>
    </w:p>
    <w:p w14:paraId="1C746469" w14:textId="77777777" w:rsidR="00D83D2C" w:rsidRDefault="00D83D2C" w:rsidP="00744692">
      <w:pPr>
        <w:spacing w:after="200" w:line="240" w:lineRule="auto"/>
        <w:rPr>
          <w:rFonts w:cstheme="minorHAnsi"/>
        </w:rPr>
      </w:pPr>
    </w:p>
    <w:p w14:paraId="5A1A6CD7" w14:textId="4F431F19" w:rsidR="0063144C" w:rsidRPr="00F760DF" w:rsidRDefault="00421E17" w:rsidP="00515C96">
      <w:pPr>
        <w:spacing w:after="200" w:line="276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F760DF">
        <w:rPr>
          <w:rFonts w:ascii="Calibri" w:eastAsia="Calibri" w:hAnsi="Calibri" w:cs="Calibri"/>
          <w:b/>
          <w:bCs/>
          <w:sz w:val="28"/>
          <w:szCs w:val="28"/>
        </w:rPr>
        <w:t>Suggested  sources</w:t>
      </w:r>
      <w:r w:rsidR="00504FB9" w:rsidRPr="00F760D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    </w:t>
      </w:r>
    </w:p>
    <w:p w14:paraId="59C53ACF" w14:textId="088DD7C8" w:rsidR="00F11EFA" w:rsidRPr="00F11EFA" w:rsidRDefault="00F11EFA" w:rsidP="00421E17">
      <w:pPr>
        <w:spacing w:after="200" w:line="276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11EFA">
        <w:rPr>
          <w:rFonts w:cstheme="minorHAnsi"/>
          <w:b/>
          <w:bCs/>
          <w:sz w:val="28"/>
          <w:szCs w:val="28"/>
          <w:shd w:val="clear" w:color="auto" w:fill="FFFFFF"/>
        </w:rPr>
        <w:t>Part A</w:t>
      </w:r>
    </w:p>
    <w:p w14:paraId="7582B5B5" w14:textId="0906ACDA" w:rsidR="004226FE" w:rsidRPr="004226FE" w:rsidRDefault="00C3398C" w:rsidP="004226FE">
      <w:pPr>
        <w:spacing w:after="200" w:line="276" w:lineRule="auto"/>
        <w:rPr>
          <w:rFonts w:cstheme="minorHAnsi"/>
          <w:b/>
          <w:bCs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A1.</w:t>
      </w:r>
      <w:r w:rsidR="004226FE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4226FE" w:rsidRPr="00712CB7">
        <w:rPr>
          <w:rFonts w:cstheme="minorHAnsi"/>
          <w:shd w:val="clear" w:color="auto" w:fill="FFFFFF"/>
        </w:rPr>
        <w:t>Fiske J. (2018</w:t>
      </w:r>
      <w:r w:rsidR="009F5081" w:rsidRPr="00712CB7">
        <w:rPr>
          <w:rFonts w:cstheme="minorHAnsi"/>
          <w:shd w:val="clear" w:color="auto" w:fill="FFFFFF"/>
        </w:rPr>
        <w:t>) Introduction</w:t>
      </w:r>
      <w:r w:rsidR="004226FE" w:rsidRPr="00712CB7">
        <w:rPr>
          <w:rFonts w:cstheme="minorHAnsi"/>
          <w:shd w:val="clear" w:color="auto" w:fill="FFFFFF"/>
        </w:rPr>
        <w:t xml:space="preserve"> to communication studies Taylor &amp; Francis Group chapter  7</w:t>
      </w:r>
      <w:r w:rsidR="00C07EF0">
        <w:rPr>
          <w:rFonts w:cstheme="minorHAnsi"/>
          <w:shd w:val="clear" w:color="auto" w:fill="FFFFFF"/>
        </w:rPr>
        <w:t xml:space="preserve"> Accessed via library</w:t>
      </w:r>
    </w:p>
    <w:p w14:paraId="74550AD3" w14:textId="77777777" w:rsidR="004226FE" w:rsidRDefault="004226FE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B601262" w14:textId="556BB594" w:rsidR="00CD0B70" w:rsidRPr="00CD0B70" w:rsidRDefault="00C3398C" w:rsidP="00CD0B70">
      <w:pPr>
        <w:spacing w:after="200" w:line="276" w:lineRule="auto"/>
        <w:rPr>
          <w:rFonts w:cstheme="minorHAnsi"/>
          <w:sz w:val="24"/>
          <w:szCs w:val="24"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A2</w:t>
      </w:r>
      <w:r w:rsidR="00D83D2C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CD0B70" w:rsidRPr="00CD0B70">
        <w:t xml:space="preserve"> </w:t>
      </w:r>
      <w:r w:rsidR="00CD0B70" w:rsidRPr="00CD0B70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D0B70" w:rsidRPr="00CD0B70">
        <w:rPr>
          <w:rFonts w:cstheme="minorHAnsi"/>
          <w:sz w:val="24"/>
          <w:szCs w:val="24"/>
          <w:shd w:val="clear" w:color="auto" w:fill="FFFFFF"/>
        </w:rPr>
        <w:t xml:space="preserve">Men L., Thelen P Qin Y. (2024 ) The impact of diversity communication on employee organizational identification and employee voice </w:t>
      </w:r>
      <w:proofErr w:type="spellStart"/>
      <w:r w:rsidR="00CD0B70" w:rsidRPr="00CD0B70">
        <w:rPr>
          <w:rFonts w:cstheme="minorHAnsi"/>
          <w:sz w:val="24"/>
          <w:szCs w:val="24"/>
          <w:shd w:val="clear" w:color="auto" w:fill="FFFFFF"/>
        </w:rPr>
        <w:t>behaviors</w:t>
      </w:r>
      <w:proofErr w:type="spellEnd"/>
      <w:r w:rsidR="00CD0B70" w:rsidRPr="00CD0B70">
        <w:rPr>
          <w:rFonts w:cstheme="minorHAnsi"/>
          <w:sz w:val="24"/>
          <w:szCs w:val="24"/>
          <w:shd w:val="clear" w:color="auto" w:fill="FFFFFF"/>
        </w:rPr>
        <w:t xml:space="preserve">: A moderated mediation model Public Relations </w:t>
      </w:r>
      <w:r w:rsidR="00C07EF0" w:rsidRPr="00CD0B70">
        <w:rPr>
          <w:rFonts w:cstheme="minorHAnsi"/>
          <w:sz w:val="24"/>
          <w:szCs w:val="24"/>
          <w:shd w:val="clear" w:color="auto" w:fill="FFFFFF"/>
        </w:rPr>
        <w:t>Review, Volume</w:t>
      </w:r>
      <w:r w:rsidR="00CD0B70" w:rsidRPr="00CD0B70">
        <w:rPr>
          <w:rFonts w:cstheme="minorHAnsi"/>
          <w:sz w:val="24"/>
          <w:szCs w:val="24"/>
          <w:shd w:val="clear" w:color="auto" w:fill="FFFFFF"/>
        </w:rPr>
        <w:t xml:space="preserve"> 50, Issue 4,</w:t>
      </w:r>
      <w:r w:rsidR="00C07EF0" w:rsidRPr="00C07EF0">
        <w:t xml:space="preserve"> </w:t>
      </w:r>
      <w:r w:rsidR="00C07EF0" w:rsidRPr="00C07EF0">
        <w:rPr>
          <w:rFonts w:cstheme="minorHAnsi"/>
          <w:sz w:val="24"/>
          <w:szCs w:val="24"/>
          <w:shd w:val="clear" w:color="auto" w:fill="FFFFFF"/>
        </w:rPr>
        <w:t>Accessed via library</w:t>
      </w:r>
    </w:p>
    <w:p w14:paraId="1E5D5DEC" w14:textId="77777777" w:rsidR="00A44710" w:rsidRPr="00F11EFA" w:rsidRDefault="00A44710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58C80DA" w14:textId="24749ADC" w:rsidR="00A44710" w:rsidRPr="00F11EFA" w:rsidRDefault="00202467" w:rsidP="0020246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A3.</w:t>
      </w:r>
      <w:r w:rsidRPr="00F11EFA">
        <w:rPr>
          <w:rFonts w:cstheme="minorHAnsi"/>
          <w:sz w:val="24"/>
          <w:szCs w:val="24"/>
        </w:rPr>
        <w:t xml:space="preserve">  Palmer J .(2000) Spinning into control: news values and source strategies. Studies in communication and society, London: Leicester University Press Available via web learn</w:t>
      </w:r>
      <w:r w:rsidR="00F11EFA">
        <w:rPr>
          <w:rFonts w:cstheme="minorHAnsi"/>
          <w:sz w:val="24"/>
          <w:szCs w:val="24"/>
        </w:rPr>
        <w:t xml:space="preserve"> &amp; library</w:t>
      </w:r>
    </w:p>
    <w:p w14:paraId="6C312AFB" w14:textId="77777777" w:rsidR="00202467" w:rsidRPr="00F11EFA" w:rsidRDefault="00202467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FAD5981" w14:textId="2B51ED78" w:rsidR="00F11EFA" w:rsidRPr="00F11EFA" w:rsidRDefault="00F11EFA" w:rsidP="00421E17">
      <w:pPr>
        <w:spacing w:after="200" w:line="276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11EFA">
        <w:rPr>
          <w:rFonts w:cstheme="minorHAnsi"/>
          <w:b/>
          <w:bCs/>
          <w:sz w:val="28"/>
          <w:szCs w:val="28"/>
          <w:shd w:val="clear" w:color="auto" w:fill="FFFFFF"/>
        </w:rPr>
        <w:t>Part B</w:t>
      </w:r>
    </w:p>
    <w:p w14:paraId="648C7A99" w14:textId="67B5C7CD" w:rsidR="00202467" w:rsidRPr="00F11EFA" w:rsidRDefault="00202467" w:rsidP="00421E17">
      <w:pPr>
        <w:spacing w:after="200" w:line="276" w:lineRule="auto"/>
        <w:rPr>
          <w:rFonts w:cstheme="minorHAnsi"/>
          <w:sz w:val="24"/>
          <w:szCs w:val="24"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B1.</w:t>
      </w:r>
      <w:r w:rsidRPr="00F11EFA">
        <w:rPr>
          <w:rFonts w:cstheme="minorHAnsi"/>
          <w:sz w:val="24"/>
          <w:szCs w:val="24"/>
        </w:rPr>
        <w:t xml:space="preserve"> </w:t>
      </w:r>
      <w:r w:rsidRPr="00F11EFA">
        <w:rPr>
          <w:rFonts w:cstheme="minorHAnsi"/>
          <w:sz w:val="24"/>
          <w:szCs w:val="24"/>
          <w:shd w:val="clear" w:color="auto" w:fill="FFFFFF"/>
        </w:rPr>
        <w:t>Tench R. Waddington (2021) Exploring public Relations &amp; Management Communications 5th Edition Pearson’s chapter 13 Available via  library e book</w:t>
      </w:r>
    </w:p>
    <w:p w14:paraId="42F6660E" w14:textId="77777777" w:rsidR="00202467" w:rsidRPr="00F11EFA" w:rsidRDefault="00202467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D1DA37B" w14:textId="777C3C99" w:rsidR="00202467" w:rsidRPr="00F11EFA" w:rsidRDefault="00202467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B2</w:t>
      </w:r>
      <w:r w:rsidRPr="00F11EFA">
        <w:rPr>
          <w:rFonts w:cstheme="minorHAnsi"/>
          <w:sz w:val="24"/>
          <w:szCs w:val="24"/>
        </w:rPr>
        <w:t xml:space="preserve"> </w:t>
      </w:r>
      <w:r w:rsidRPr="00F11EFA">
        <w:rPr>
          <w:rFonts w:cstheme="minorHAnsi"/>
          <w:sz w:val="24"/>
          <w:szCs w:val="24"/>
          <w:shd w:val="clear" w:color="auto" w:fill="FFFFFF"/>
        </w:rPr>
        <w:t>Klaehn J. (2002) A Critical Review and Assessment of Herman and Chomsky’s Propaganda Model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>.</w:t>
      </w:r>
      <w:r w:rsidRPr="00F11EFA">
        <w:rPr>
          <w:rFonts w:cstheme="minorHAnsi"/>
          <w:sz w:val="24"/>
          <w:szCs w:val="24"/>
          <w:shd w:val="clear" w:color="auto" w:fill="FFFFFF"/>
        </w:rPr>
        <w:t xml:space="preserve"> European Journal of Communication Vol 17(2) p.p. 147–182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>.</w:t>
      </w:r>
      <w:r w:rsidRPr="00F11EFA">
        <w:rPr>
          <w:rFonts w:cstheme="minorHAnsi"/>
          <w:sz w:val="24"/>
          <w:szCs w:val="24"/>
          <w:shd w:val="clear" w:color="auto" w:fill="FFFFFF"/>
        </w:rPr>
        <w:t xml:space="preserve"> Available via weblearn</w:t>
      </w:r>
    </w:p>
    <w:p w14:paraId="720C1047" w14:textId="77777777" w:rsidR="00202467" w:rsidRPr="00F11EFA" w:rsidRDefault="00202467" w:rsidP="00421E17">
      <w:pPr>
        <w:spacing w:after="200" w:line="276" w:lineRule="auto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658456C" w14:textId="497958F9" w:rsidR="00202467" w:rsidRPr="00F11EFA" w:rsidRDefault="00202467" w:rsidP="00F760DF">
      <w:pPr>
        <w:spacing w:after="200" w:line="276" w:lineRule="auto"/>
        <w:rPr>
          <w:rFonts w:cstheme="minorHAnsi"/>
          <w:sz w:val="24"/>
          <w:szCs w:val="24"/>
          <w:shd w:val="clear" w:color="auto" w:fill="FFFFFF"/>
        </w:rPr>
      </w:pP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>B3</w:t>
      </w:r>
      <w:r w:rsidR="00F760DF" w:rsidRPr="00F11EFA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Pr="00F11EFA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 xml:space="preserve">Salikov A. (2018) Hannah Arendt, Jürgen Habermas, and Rethinking the Public Sphere in the Age of Social Media </w:t>
      </w:r>
      <w:r w:rsidR="00F11EFA" w:rsidRPr="00F11EFA">
        <w:rPr>
          <w:rFonts w:cstheme="minorHAnsi"/>
          <w:sz w:val="24"/>
          <w:szCs w:val="24"/>
          <w:shd w:val="clear" w:color="auto" w:fill="FFFFFF"/>
        </w:rPr>
        <w:t xml:space="preserve">Russian 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 xml:space="preserve"> S</w:t>
      </w:r>
      <w:r w:rsidR="00F11EFA" w:rsidRPr="00F11EFA">
        <w:rPr>
          <w:rFonts w:cstheme="minorHAnsi"/>
          <w:sz w:val="24"/>
          <w:szCs w:val="24"/>
          <w:shd w:val="clear" w:color="auto" w:fill="FFFFFF"/>
        </w:rPr>
        <w:t>ociological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 xml:space="preserve"> R</w:t>
      </w:r>
      <w:r w:rsidR="00F11EFA" w:rsidRPr="00F11EFA">
        <w:rPr>
          <w:rFonts w:cstheme="minorHAnsi"/>
          <w:sz w:val="24"/>
          <w:szCs w:val="24"/>
          <w:shd w:val="clear" w:color="auto" w:fill="FFFFFF"/>
        </w:rPr>
        <w:t>eview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>. 2018. VOL. 17. N</w:t>
      </w:r>
      <w:r w:rsidR="00F11EFA" w:rsidRPr="00F11EFA">
        <w:rPr>
          <w:rFonts w:cstheme="minorHAnsi"/>
          <w:sz w:val="24"/>
          <w:szCs w:val="24"/>
          <w:shd w:val="clear" w:color="auto" w:fill="FFFFFF"/>
        </w:rPr>
        <w:t>o.</w:t>
      </w:r>
      <w:r w:rsidR="00F760DF" w:rsidRPr="00F11EFA">
        <w:rPr>
          <w:rFonts w:cstheme="minorHAnsi"/>
          <w:sz w:val="24"/>
          <w:szCs w:val="24"/>
          <w:shd w:val="clear" w:color="auto" w:fill="FFFFFF"/>
        </w:rPr>
        <w:t>4</w:t>
      </w:r>
      <w:r w:rsidR="00F760DF" w:rsidRPr="00F11EFA">
        <w:rPr>
          <w:rFonts w:cstheme="minorHAnsi"/>
          <w:sz w:val="24"/>
          <w:szCs w:val="24"/>
        </w:rPr>
        <w:t xml:space="preserve"> </w:t>
      </w:r>
      <w:r w:rsidR="00F11EFA" w:rsidRPr="00F11EFA">
        <w:rPr>
          <w:rFonts w:cstheme="minorHAnsi"/>
          <w:sz w:val="24"/>
          <w:szCs w:val="24"/>
        </w:rPr>
        <w:t>Available via weblearn.</w:t>
      </w:r>
    </w:p>
    <w:p w14:paraId="79A7407E" w14:textId="77777777" w:rsidR="00202467" w:rsidRPr="00F11EFA" w:rsidRDefault="00202467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D965E65" w14:textId="77777777" w:rsidR="00202467" w:rsidRPr="00F11EFA" w:rsidRDefault="00202467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0BB7897" w14:textId="77777777" w:rsidR="00202467" w:rsidRPr="00F11EFA" w:rsidRDefault="00202467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1907E91" w14:textId="77777777" w:rsidR="00202467" w:rsidRDefault="00202467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E0DDA93" w14:textId="77777777" w:rsidR="00202467" w:rsidRDefault="00202467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E715CF" w14:textId="77777777" w:rsidR="00A44710" w:rsidRDefault="00A44710" w:rsidP="00421E17">
      <w:pPr>
        <w:spacing w:after="20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BE69A6" w14:textId="7458E82A" w:rsidR="00504FB9" w:rsidRPr="00B431B9" w:rsidRDefault="00504FB9" w:rsidP="00421E17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     </w:t>
      </w:r>
      <w:r w:rsidR="00CC729A"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</w:t>
      </w:r>
      <w:r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</w:p>
    <w:sectPr w:rsidR="00504FB9" w:rsidRPr="00B431B9" w:rsidSect="0074469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1970"/>
    <w:multiLevelType w:val="hybridMultilevel"/>
    <w:tmpl w:val="1A824996"/>
    <w:lvl w:ilvl="0" w:tplc="3446B5B2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A82"/>
    <w:multiLevelType w:val="hybridMultilevel"/>
    <w:tmpl w:val="7D163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24BC5"/>
    <w:multiLevelType w:val="hybridMultilevel"/>
    <w:tmpl w:val="FD88DD02"/>
    <w:lvl w:ilvl="0" w:tplc="3AB4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6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2B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E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7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5676424">
    <w:abstractNumId w:val="2"/>
  </w:num>
  <w:num w:numId="2" w16cid:durableId="1467158675">
    <w:abstractNumId w:val="0"/>
  </w:num>
  <w:num w:numId="3" w16cid:durableId="132173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9"/>
    <w:rsid w:val="0002432B"/>
    <w:rsid w:val="00030B51"/>
    <w:rsid w:val="00067CF8"/>
    <w:rsid w:val="00085B17"/>
    <w:rsid w:val="000A765F"/>
    <w:rsid w:val="00106B83"/>
    <w:rsid w:val="001477F9"/>
    <w:rsid w:val="0018286E"/>
    <w:rsid w:val="00202467"/>
    <w:rsid w:val="0029111A"/>
    <w:rsid w:val="002D3E2C"/>
    <w:rsid w:val="002E1605"/>
    <w:rsid w:val="00301C83"/>
    <w:rsid w:val="0030219B"/>
    <w:rsid w:val="00380DC4"/>
    <w:rsid w:val="003C10F6"/>
    <w:rsid w:val="00421E17"/>
    <w:rsid w:val="004226FE"/>
    <w:rsid w:val="0047653B"/>
    <w:rsid w:val="0049106D"/>
    <w:rsid w:val="004F301C"/>
    <w:rsid w:val="00504FB9"/>
    <w:rsid w:val="00504FC5"/>
    <w:rsid w:val="00515C96"/>
    <w:rsid w:val="00582134"/>
    <w:rsid w:val="00590409"/>
    <w:rsid w:val="005917F7"/>
    <w:rsid w:val="0062602C"/>
    <w:rsid w:val="0063144C"/>
    <w:rsid w:val="00632434"/>
    <w:rsid w:val="00655506"/>
    <w:rsid w:val="006C6282"/>
    <w:rsid w:val="006E0C67"/>
    <w:rsid w:val="00712CB7"/>
    <w:rsid w:val="00744692"/>
    <w:rsid w:val="00745E98"/>
    <w:rsid w:val="00756CF1"/>
    <w:rsid w:val="0077525A"/>
    <w:rsid w:val="007A531C"/>
    <w:rsid w:val="008C11B0"/>
    <w:rsid w:val="008C15BA"/>
    <w:rsid w:val="008D341E"/>
    <w:rsid w:val="008D57B6"/>
    <w:rsid w:val="00940D3C"/>
    <w:rsid w:val="0098397D"/>
    <w:rsid w:val="009F5081"/>
    <w:rsid w:val="009F5B95"/>
    <w:rsid w:val="00A44710"/>
    <w:rsid w:val="00A52414"/>
    <w:rsid w:val="00A541AA"/>
    <w:rsid w:val="00B04B4A"/>
    <w:rsid w:val="00B431B9"/>
    <w:rsid w:val="00BA4F39"/>
    <w:rsid w:val="00BB3156"/>
    <w:rsid w:val="00BD4F4C"/>
    <w:rsid w:val="00C07EF0"/>
    <w:rsid w:val="00C3398C"/>
    <w:rsid w:val="00CC729A"/>
    <w:rsid w:val="00CD0B70"/>
    <w:rsid w:val="00D60191"/>
    <w:rsid w:val="00D73474"/>
    <w:rsid w:val="00D73AAC"/>
    <w:rsid w:val="00D83D2C"/>
    <w:rsid w:val="00DF6A85"/>
    <w:rsid w:val="00E029AF"/>
    <w:rsid w:val="00E91DB4"/>
    <w:rsid w:val="00ED199A"/>
    <w:rsid w:val="00F051E3"/>
    <w:rsid w:val="00F11EFA"/>
    <w:rsid w:val="00F138FD"/>
    <w:rsid w:val="00F54943"/>
    <w:rsid w:val="00F57F18"/>
    <w:rsid w:val="00F760DF"/>
    <w:rsid w:val="00F83340"/>
    <w:rsid w:val="00FA5DBE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306278"/>
  <w15:chartTrackingRefBased/>
  <w15:docId w15:val="{95F8D3D9-B21D-4FC4-A322-811CF26E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B9"/>
  </w:style>
  <w:style w:type="paragraph" w:styleId="Heading7">
    <w:name w:val="heading 7"/>
    <w:basedOn w:val="Normal"/>
    <w:next w:val="Normal"/>
    <w:link w:val="Heading7Char"/>
    <w:qFormat/>
    <w:rsid w:val="008C15BA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2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9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C15B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NoSpacing">
    <w:name w:val="No Spacing"/>
    <w:uiPriority w:val="1"/>
    <w:qFormat/>
    <w:rsid w:val="008C15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5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3.googleusercontent.com/w4NyO_Cawkimrv61uOjKrGy-3rh4N-5aOZTbQBGSdH7HstkET-kcjM4KKQh2sU8GnpZalA=w1281-h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7C50-A02E-4590-B432-32F4283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Gabriel</dc:creator>
  <cp:keywords/>
  <dc:description/>
  <cp:lastModifiedBy>Katrina Moore</cp:lastModifiedBy>
  <cp:revision>2</cp:revision>
  <dcterms:created xsi:type="dcterms:W3CDTF">2025-06-24T15:15:00Z</dcterms:created>
  <dcterms:modified xsi:type="dcterms:W3CDTF">2025-06-24T15:15:00Z</dcterms:modified>
</cp:coreProperties>
</file>