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3C9" w14:textId="77777777" w:rsidR="00A256DB" w:rsidRDefault="00A256DB" w:rsidP="00A256DB">
      <w:pPr>
        <w:pStyle w:val="Heading1"/>
      </w:pPr>
      <w:r>
        <w:t>Sources for Caribbean Studies in the TUC Library Collections</w:t>
      </w:r>
      <w:r w:rsidRPr="00231569">
        <w:t xml:space="preserve">. </w:t>
      </w:r>
    </w:p>
    <w:p w14:paraId="33D2828F" w14:textId="77777777" w:rsidR="00A256DB" w:rsidRDefault="00A256DB" w:rsidP="00A256DB">
      <w:r>
        <w:rPr>
          <w:noProof/>
        </w:rPr>
        <w:drawing>
          <wp:inline distT="0" distB="0" distL="0" distR="0" wp14:anchorId="6F3069AE" wp14:editId="2F5337AA">
            <wp:extent cx="1930400" cy="2171700"/>
            <wp:effectExtent l="0" t="0" r="0" b="0"/>
            <wp:docPr id="7" name="image2.jpeg" descr="Book cover. Collage of three artist's illustrations of industry, a crane moving earth at the top, sugar cane harvesting, and logging.. The title at the top right is &quot;British Guiana British Hunduras, an economic surv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Book cover. Collage of three artist's illustrations of industry, a crane moving earth at the top, sugar cane harvesting, and logging.. The title at the top right is &quot;British Guiana British Hunduras, an economic survey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67F0" w14:textId="77777777" w:rsidR="00A256DB" w:rsidRDefault="00A256DB" w:rsidP="00A256DB">
      <w:r>
        <w:t>The TUC Library Collections, established in 1922, transferred to London Metropolitan University</w:t>
      </w:r>
      <w:r>
        <w:rPr>
          <w:spacing w:val="-59"/>
        </w:rPr>
        <w:t xml:space="preserve"> </w:t>
      </w:r>
      <w:r>
        <w:t>in 1996. The holdings include reference and historical works on the trade union movement,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countries, and material collected from all the campaigns and policy areas in which the TUC</w:t>
      </w:r>
      <w:r>
        <w:rPr>
          <w:spacing w:val="1"/>
        </w:rPr>
        <w:t xml:space="preserve"> </w:t>
      </w:r>
      <w:r>
        <w:t>(Trades Union Congress) has been involved since its foundation in 1868. The library also holds</w:t>
      </w:r>
      <w:r>
        <w:rPr>
          <w:spacing w:val="1"/>
        </w:rPr>
        <w:t xml:space="preserve"> </w:t>
      </w:r>
      <w:r>
        <w:t>publications from overseas. Most of the Caribbean collection relates to the former ‘British West</w:t>
      </w:r>
      <w:r>
        <w:rPr>
          <w:spacing w:val="1"/>
        </w:rPr>
        <w:t xml:space="preserve"> </w:t>
      </w:r>
      <w:r>
        <w:t>Indies’ - primarily Jamaica, Trinidad &amp; Tobago, Guyana, St. Lucia, Barbados and Antigua,</w:t>
      </w:r>
      <w:r>
        <w:rPr>
          <w:spacing w:val="1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from other</w:t>
      </w:r>
      <w:r>
        <w:rPr>
          <w:spacing w:val="-2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Cuba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Dominican</w:t>
      </w:r>
      <w:r>
        <w:rPr>
          <w:spacing w:val="-1"/>
        </w:rPr>
        <w:t xml:space="preserve"> </w:t>
      </w:r>
      <w:r>
        <w:t>Re</w:t>
      </w:r>
      <w:r>
        <w:rPr>
          <w:noProof/>
        </w:rPr>
        <w:lastRenderedPageBreak/>
        <w:drawing>
          <wp:inline distT="0" distB="0" distL="0" distR="0" wp14:anchorId="268B4D8D" wp14:editId="492AD710">
            <wp:extent cx="2295525" cy="3030093"/>
            <wp:effectExtent l="0" t="0" r="0" b="0"/>
            <wp:docPr id="3" name="image3.jpeg" descr="Magazine cover with title &quot;Jamaica Arise!&quot; Subtitle &quot;The Politcal and Labour Guide&quot; and a portrait of black Caribbean councillor Kenneth Hill siging a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Magazine cover with title &quot;Jamaica Arise!&quot; Subtitle &quot;The Politcal and Labour Guide&quot; and a portrait of black Caribbean councillor Kenneth Hill siging a documen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40AD" w14:textId="77777777" w:rsidR="00A256DB" w:rsidRPr="004C72A3" w:rsidRDefault="00A256DB" w:rsidP="00A256DB">
      <w:pPr>
        <w:pStyle w:val="TableParagraph"/>
        <w:spacing w:before="10"/>
        <w:ind w:left="0"/>
        <w:rPr>
          <w:b/>
          <w:sz w:val="24"/>
          <w:szCs w:val="24"/>
        </w:rPr>
      </w:pPr>
    </w:p>
    <w:p w14:paraId="763CE232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  <w:r>
        <w:t>The largest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collection relates</w:t>
      </w:r>
      <w:r>
        <w:rPr>
          <w:spacing w:val="61"/>
        </w:rPr>
        <w:t xml:space="preserve"> </w:t>
      </w:r>
      <w:r>
        <w:t>to trade unions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Indies</w:t>
      </w:r>
      <w:r>
        <w:rPr>
          <w:spacing w:val="1"/>
        </w:rPr>
        <w:t xml:space="preserve"> </w:t>
      </w:r>
      <w:r>
        <w:t>(before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independence)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(including some rare titles), official papers, employment law and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agreements.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literature and official</w:t>
      </w:r>
      <w:r>
        <w:rPr>
          <w:spacing w:val="61"/>
        </w:rPr>
        <w:t xml:space="preserve"> </w:t>
      </w:r>
      <w:r>
        <w:t>reports</w:t>
      </w:r>
      <w:r>
        <w:rPr>
          <w:spacing w:val="-5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strikes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disturbances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significant</w:t>
      </w:r>
      <w:r>
        <w:rPr>
          <w:spacing w:val="6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unrest and strong political movements on some islands. The</w:t>
      </w:r>
      <w:r>
        <w:rPr>
          <w:spacing w:val="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government and a collection spanning over 30 years includes</w:t>
      </w:r>
      <w:r>
        <w:rPr>
          <w:spacing w:val="1"/>
        </w:rPr>
        <w:t xml:space="preserve"> </w:t>
      </w:r>
      <w:r>
        <w:t>policy documents, reports and press cuttings on disputes, plus</w:t>
      </w:r>
      <w:r>
        <w:rPr>
          <w:spacing w:val="1"/>
        </w:rPr>
        <w:t xml:space="preserve"> </w:t>
      </w:r>
      <w:r>
        <w:t>agreements</w:t>
      </w:r>
      <w:r>
        <w:rPr>
          <w:spacing w:val="37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unions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sugar</w:t>
      </w:r>
      <w:r>
        <w:rPr>
          <w:spacing w:val="38"/>
        </w:rPr>
        <w:t xml:space="preserve"> </w:t>
      </w:r>
      <w:r>
        <w:t>industry</w:t>
      </w:r>
      <w:r>
        <w:rPr>
          <w:spacing w:val="36"/>
        </w:rPr>
        <w:t xml:space="preserve"> </w:t>
      </w:r>
      <w:r>
        <w:t>employers.</w:t>
      </w:r>
      <w:r>
        <w:rPr>
          <w:spacing w:val="39"/>
        </w:rPr>
        <w:t xml:space="preserve"> </w:t>
      </w:r>
      <w:proofErr w:type="gramStart"/>
      <w:r>
        <w:t>In particular, there</w:t>
      </w:r>
      <w:proofErr w:type="gramEnd"/>
      <w:r>
        <w:t xml:space="preserve"> are significant files on Trinidad &amp; Tobago where there was a strong labour</w:t>
      </w:r>
      <w:r>
        <w:rPr>
          <w:spacing w:val="1"/>
        </w:rPr>
        <w:t xml:space="preserve"> </w:t>
      </w:r>
      <w:r>
        <w:t>movement. Also held are the publications of various international organisations such as 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Organisation,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Confederation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Caribbean</w:t>
      </w:r>
      <w:r>
        <w:rPr>
          <w:spacing w:val="-2"/>
        </w:rPr>
        <w:t xml:space="preserve"> </w:t>
      </w:r>
      <w:r>
        <w:t>Area.</w:t>
      </w:r>
    </w:p>
    <w:p w14:paraId="18BE7E98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5F0B4C62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4F7E2A29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36244993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29276EB6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68CEFB94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67965732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0D9C11BA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</w:p>
    <w:p w14:paraId="3760CA03" w14:textId="77777777" w:rsidR="00A256DB" w:rsidRDefault="00A256DB" w:rsidP="00A256DB">
      <w:pPr>
        <w:pStyle w:val="BodyText"/>
        <w:spacing w:before="1" w:line="360" w:lineRule="auto"/>
        <w:ind w:right="109"/>
        <w:jc w:val="both"/>
      </w:pPr>
      <w:r>
        <w:rPr>
          <w:noProof/>
        </w:rPr>
        <w:lastRenderedPageBreak/>
        <w:drawing>
          <wp:inline distT="0" distB="0" distL="0" distR="0" wp14:anchorId="0B896D89" wp14:editId="323BE9C0">
            <wp:extent cx="2108804" cy="3019425"/>
            <wp:effectExtent l="0" t="0" r="6350" b="0"/>
            <wp:docPr id="8" name="image4.jpeg" descr="Election leaflet with wording &quot;legislative council election, February 1925, fellow electors vote for Alfred Richards. Alfred Richards, councillor, southern ward, Port-of-Spain&quot; portrait of a young black man in the middle wearing formal, old fashioned clot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 descr="Election leaflet with wording &quot;legislative council election, February 1925, fellow electors vote for Alfred Richards. Alfred Richards, councillor, southern ward, Port-of-Spain&quot; portrait of a young black man in the middle wearing formal, old fashioned clothe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04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ACD5" w14:textId="77777777" w:rsidR="00A256DB" w:rsidRDefault="00A256DB" w:rsidP="00A256DB">
      <w:pPr>
        <w:rPr>
          <w:spacing w:val="-1"/>
        </w:rPr>
      </w:pPr>
      <w:r>
        <w:t xml:space="preserve">The library also holds publications from Caribbean political parties and pressure groups. </w:t>
      </w:r>
      <w:proofErr w:type="gramStart"/>
      <w:r>
        <w:t>In</w:t>
      </w:r>
      <w:r>
        <w:rPr>
          <w:spacing w:val="1"/>
        </w:rPr>
        <w:t xml:space="preserve"> </w:t>
      </w:r>
      <w:r>
        <w:t>particular, there</w:t>
      </w:r>
      <w:proofErr w:type="gramEnd"/>
      <w:r>
        <w:t xml:space="preserve"> is interesting material from the People’s Progressive Party in Guyana, and its</w:t>
      </w:r>
      <w:r>
        <w:rPr>
          <w:spacing w:val="1"/>
        </w:rPr>
        <w:t xml:space="preserve"> </w:t>
      </w:r>
      <w:r>
        <w:t xml:space="preserve">leader </w:t>
      </w:r>
      <w:proofErr w:type="spellStart"/>
      <w:r>
        <w:t>Dr.</w:t>
      </w:r>
      <w:proofErr w:type="spellEnd"/>
      <w:r>
        <w:t xml:space="preserve"> Cheddi </w:t>
      </w:r>
      <w:proofErr w:type="spellStart"/>
      <w:r>
        <w:t>Jagan</w:t>
      </w:r>
      <w:proofErr w:type="spellEnd"/>
      <w:r>
        <w:t>, from the 1950s up to the late 1980s. There are documents by or about</w:t>
      </w:r>
      <w:r>
        <w:rPr>
          <w:spacing w:val="-59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Caribbean</w:t>
      </w:r>
      <w:r>
        <w:rPr>
          <w:spacing w:val="11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Alexander</w:t>
      </w:r>
      <w:r>
        <w:rPr>
          <w:spacing w:val="12"/>
        </w:rPr>
        <w:t xml:space="preserve"> </w:t>
      </w:r>
      <w:r>
        <w:t>Bustamante,</w:t>
      </w:r>
      <w:r>
        <w:rPr>
          <w:spacing w:val="11"/>
        </w:rPr>
        <w:t xml:space="preserve"> </w:t>
      </w:r>
      <w:r>
        <w:t>C.L.R</w:t>
      </w:r>
      <w:r>
        <w:rPr>
          <w:spacing w:val="10"/>
        </w:rPr>
        <w:t xml:space="preserve"> </w:t>
      </w:r>
      <w:r>
        <w:t>James, A.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Cipriani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Norman</w:t>
      </w:r>
      <w:r>
        <w:rPr>
          <w:spacing w:val="1"/>
        </w:rPr>
        <w:t xml:space="preserve"> </w:t>
      </w:r>
      <w:r>
        <w:t>Manley.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region’s constitutional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India Royal Commission, conferences to discuss independence,</w:t>
      </w:r>
      <w:r>
        <w:rPr>
          <w:spacing w:val="1"/>
        </w:rPr>
        <w:t xml:space="preserve"> </w:t>
      </w:r>
      <w:r>
        <w:t>and documents relating to the formation of the British Caribbean</w:t>
      </w:r>
      <w:r>
        <w:rPr>
          <w:spacing w:val="1"/>
        </w:rPr>
        <w:t xml:space="preserve"> </w:t>
      </w:r>
      <w:r>
        <w:t>Federation. The</w:t>
      </w:r>
      <w:r>
        <w:rPr>
          <w:spacing w:val="1"/>
        </w:rPr>
        <w:t xml:space="preserve"> </w:t>
      </w:r>
      <w:proofErr w:type="gramStart"/>
      <w:r>
        <w:t>Library</w:t>
      </w:r>
      <w:proofErr w:type="gramEnd"/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publications</w:t>
      </w:r>
      <w:r>
        <w:rPr>
          <w:spacing w:val="6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British political organisations, such as the Labour Party (including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Conferences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1925),</w:t>
      </w:r>
      <w:r>
        <w:rPr>
          <w:spacing w:val="-59"/>
        </w:rPr>
        <w:t xml:space="preserve"> </w:t>
      </w:r>
      <w:r>
        <w:t>Communist</w:t>
      </w:r>
      <w:r>
        <w:rPr>
          <w:spacing w:val="38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relevant</w:t>
      </w:r>
      <w:r>
        <w:rPr>
          <w:spacing w:val="35"/>
        </w:rPr>
        <w:t xml:space="preserve"> </w:t>
      </w:r>
      <w:r>
        <w:t>groups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campaigns</w:t>
      </w:r>
      <w:r>
        <w:rPr>
          <w:spacing w:val="37"/>
        </w:rPr>
        <w:t xml:space="preserve"> </w:t>
      </w:r>
      <w:r>
        <w:t>e.g.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Fabian</w:t>
      </w:r>
      <w:r>
        <w:rPr>
          <w:spacing w:val="-12"/>
        </w:rPr>
        <w:t xml:space="preserve"> </w:t>
      </w:r>
      <w:r>
        <w:rPr>
          <w:spacing w:val="-1"/>
        </w:rPr>
        <w:t>Colonial</w:t>
      </w:r>
      <w:r>
        <w:rPr>
          <w:spacing w:val="-13"/>
        </w:rPr>
        <w:t xml:space="preserve"> </w:t>
      </w:r>
      <w:r>
        <w:rPr>
          <w:spacing w:val="-1"/>
        </w:rPr>
        <w:t>Bureau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League</w:t>
      </w:r>
      <w:r>
        <w:rPr>
          <w:spacing w:val="-13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rPr>
          <w:spacing w:val="-1"/>
        </w:rPr>
        <w:t>Imperialism.</w:t>
      </w:r>
    </w:p>
    <w:p w14:paraId="0E1D35C2" w14:textId="77777777" w:rsidR="00A256DB" w:rsidRDefault="00A256DB" w:rsidP="00A256DB">
      <w:pPr>
        <w:pStyle w:val="BodyText"/>
        <w:spacing w:before="94" w:line="360" w:lineRule="auto"/>
        <w:ind w:right="113"/>
        <w:jc w:val="both"/>
        <w:rPr>
          <w:sz w:val="24"/>
          <w:szCs w:val="24"/>
          <w:lang w:eastAsia="en-GB"/>
        </w:rPr>
      </w:pPr>
      <w:r w:rsidRPr="007C0E1A">
        <w:rPr>
          <w:sz w:val="24"/>
          <w:szCs w:val="24"/>
          <w:lang w:eastAsia="en-GB"/>
        </w:rPr>
        <w:t>Other themes covered include the broader economic and social history of the islands, the West Indies contribution to the Second World War effort, plus a substantial collection on West Indian migration to the UK and settlement. More recent material includes plans for welfare and economic development, including tourism, in the Caribbean area and globalisation issues.</w:t>
      </w:r>
    </w:p>
    <w:p w14:paraId="11A406CE" w14:textId="77777777" w:rsidR="00A256DB" w:rsidRDefault="00A256DB" w:rsidP="00A256DB">
      <w:pPr>
        <w:pStyle w:val="BodyText"/>
        <w:spacing w:before="94" w:line="360" w:lineRule="auto"/>
        <w:ind w:right="113"/>
        <w:jc w:val="both"/>
        <w:rPr>
          <w:sz w:val="24"/>
          <w:szCs w:val="24"/>
          <w:lang w:eastAsia="en-GB"/>
        </w:rPr>
      </w:pPr>
    </w:p>
    <w:p w14:paraId="5CA5D092" w14:textId="77777777" w:rsidR="00A256DB" w:rsidRPr="0091519E" w:rsidRDefault="00A256DB" w:rsidP="00A256DB">
      <w:pPr>
        <w:pStyle w:val="BodyText"/>
        <w:spacing w:before="94" w:line="360" w:lineRule="auto"/>
        <w:ind w:right="113"/>
        <w:jc w:val="both"/>
        <w:rPr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3F834171" wp14:editId="29726BF6">
            <wp:extent cx="1981200" cy="2743200"/>
            <wp:effectExtent l="0" t="0" r="0" b="0"/>
            <wp:docPr id="12" name="image5.jpeg" descr="Book cover. Colourful collage of images, artist's impressions of, from the top a sunset behind a palm-tree, a man playing cricket, a man filling wooden barrels, customs staff at an airport, a dancer, agricultural worker, a portrait of an older woman. Title at top &quot;Caribbean congress of labour research studies. Growth, development and unemplo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 descr="Book cover. Colourful collage of images, artist's impressions of, from the top a sunset behind a palm-tree, a man playing cricket, a man filling wooden barrels, customs staff at an airport, a dancer, agricultural worker, a portrait of an older woman. Title at top &quot;Caribbean congress of labour research studies. Growth, development and unemploy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52AB" w14:textId="77777777" w:rsidR="00A256DB" w:rsidRDefault="00A256DB" w:rsidP="00A256DB">
      <w:pPr>
        <w:rPr>
          <w:spacing w:val="-1"/>
        </w:rPr>
      </w:pPr>
      <w:r>
        <w:t>Also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Marjorie</w:t>
      </w:r>
      <w:r>
        <w:rPr>
          <w:spacing w:val="1"/>
        </w:rPr>
        <w:t xml:space="preserve"> </w:t>
      </w:r>
      <w:r>
        <w:t xml:space="preserve">Nicholson, author of </w:t>
      </w:r>
      <w:r>
        <w:rPr>
          <w:i/>
        </w:rPr>
        <w:t>The TUC Overseas: the roots of policy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(1986), </w:t>
      </w:r>
      <w:r>
        <w:t>who</w:t>
      </w:r>
      <w:r>
        <w:rPr>
          <w:spacing w:val="-13"/>
        </w:rPr>
        <w:t xml:space="preserve"> </w:t>
      </w:r>
      <w:r>
        <w:t>worked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Fabian</w:t>
      </w:r>
      <w:r>
        <w:rPr>
          <w:spacing w:val="-14"/>
        </w:rPr>
        <w:t xml:space="preserve"> </w:t>
      </w:r>
      <w:r>
        <w:t>Colonial</w:t>
      </w:r>
      <w:r>
        <w:rPr>
          <w:spacing w:val="-14"/>
        </w:rPr>
        <w:t xml:space="preserve"> </w:t>
      </w:r>
      <w:r>
        <w:t>Bureau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TUC</w:t>
      </w:r>
      <w:r>
        <w:rPr>
          <w:spacing w:val="-59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movement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Indies.</w:t>
      </w:r>
      <w:r>
        <w:rPr>
          <w:spacing w:val="1"/>
        </w:rPr>
        <w:t xml:space="preserve"> </w:t>
      </w:r>
      <w:r>
        <w:t>There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reports from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visits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 Caribbean and on the trade</w:t>
      </w:r>
      <w:r>
        <w:rPr>
          <w:spacing w:val="1"/>
        </w:rPr>
        <w:t xml:space="preserve"> </w:t>
      </w:r>
      <w:r>
        <w:t>union movements on different islands. She also gave lectures</w:t>
      </w:r>
      <w:r>
        <w:rPr>
          <w:spacing w:val="1"/>
        </w:rPr>
        <w:t xml:space="preserve"> </w:t>
      </w:r>
      <w:r>
        <w:t>and wrote academic papers on the West Indies, as well as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academics.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handwritten</w:t>
      </w:r>
      <w:r>
        <w:rPr>
          <w:spacing w:val="1"/>
        </w:rPr>
        <w:t xml:space="preserve"> </w:t>
      </w:r>
      <w:r>
        <w:t>notes,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cuttings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receipts from her visits. A catalogue of her papers can be</w:t>
      </w:r>
      <w:r>
        <w:rPr>
          <w:spacing w:val="1"/>
        </w:rPr>
        <w:t xml:space="preserve"> </w:t>
      </w:r>
      <w:r>
        <w:t>searched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Collections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below).</w:t>
      </w:r>
    </w:p>
    <w:p w14:paraId="78535DF5" w14:textId="77777777" w:rsidR="00A256DB" w:rsidRDefault="00A256DB" w:rsidP="00A256D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Access/Location</w:t>
      </w:r>
    </w:p>
    <w:p w14:paraId="3148792A" w14:textId="77777777" w:rsidR="00A256DB" w:rsidRDefault="00A256DB" w:rsidP="00A256DB">
      <w:r>
        <w:t>The TUC Library Collections are accessible in the university’s Special Collections Reading</w:t>
      </w:r>
      <w:r>
        <w:rPr>
          <w:spacing w:val="1"/>
        </w:rPr>
        <w:t xml:space="preserve"> </w:t>
      </w:r>
      <w:r>
        <w:t>Room. The collections are available by appointment only for external visitors.</w:t>
      </w:r>
      <w:r>
        <w:rPr>
          <w:spacing w:val="61"/>
        </w:rPr>
        <w:t xml:space="preserve"> </w:t>
      </w:r>
      <w:r>
        <w:t>See Access</w:t>
      </w:r>
      <w:r>
        <w:rPr>
          <w:spacing w:val="1"/>
        </w:rPr>
        <w:t xml:space="preserve"> </w:t>
      </w:r>
      <w:r>
        <w:t>details on</w:t>
      </w:r>
      <w:r>
        <w:rPr>
          <w:spacing w:val="-2"/>
        </w:rPr>
        <w:t xml:space="preserve"> </w:t>
      </w:r>
      <w:r>
        <w:t>the Special</w:t>
      </w:r>
      <w:r>
        <w:rPr>
          <w:spacing w:val="-1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University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</w:t>
      </w:r>
    </w:p>
    <w:p w14:paraId="445D0F28" w14:textId="77777777" w:rsidR="00A256DB" w:rsidRDefault="00A256DB" w:rsidP="00A256DB">
      <w:r>
        <w:t xml:space="preserve">The TUC Library Collections, London Metropolitan University, The Wash Houses, Old Castle Street, London E1 7NT (entrance via 16 </w:t>
      </w:r>
      <w:proofErr w:type="spellStart"/>
      <w:r>
        <w:t>Goulston</w:t>
      </w:r>
      <w:proofErr w:type="spellEnd"/>
      <w:r>
        <w:t xml:space="preserve"> Street)</w:t>
      </w:r>
    </w:p>
    <w:p w14:paraId="411B55A3" w14:textId="77777777" w:rsidR="00A256DB" w:rsidRDefault="00A256DB" w:rsidP="00A256DB">
      <w:r>
        <w:t xml:space="preserve">Telephone 0207 320 3516 or Email </w:t>
      </w:r>
      <w:hyperlink r:id="rId11" w:history="1">
        <w:r w:rsidRPr="0014734E">
          <w:rPr>
            <w:rStyle w:val="Hyperlink"/>
          </w:rPr>
          <w:t>tuclib@londonmet.ac.uk</w:t>
        </w:r>
      </w:hyperlink>
    </w:p>
    <w:p w14:paraId="50B11B77" w14:textId="77777777" w:rsidR="00A256DB" w:rsidRDefault="00A256DB" w:rsidP="00A256DB">
      <w:pPr>
        <w:pStyle w:val="Heading2"/>
      </w:pPr>
      <w:r>
        <w:t>Useful links</w:t>
      </w:r>
    </w:p>
    <w:p w14:paraId="3577887C" w14:textId="77777777" w:rsidR="00A256DB" w:rsidRDefault="00A64F5F" w:rsidP="00A256DB">
      <w:hyperlink r:id="rId12" w:history="1">
        <w:r w:rsidR="00A256DB" w:rsidRPr="00581C89">
          <w:rPr>
            <w:rStyle w:val="Hyperlink"/>
          </w:rPr>
          <w:t>TUC Library Collections web page</w:t>
        </w:r>
      </w:hyperlink>
    </w:p>
    <w:p w14:paraId="45BBD83C" w14:textId="77777777" w:rsidR="00A256DB" w:rsidRDefault="00A64F5F" w:rsidP="00A256DB">
      <w:hyperlink r:id="rId13" w:history="1">
        <w:r w:rsidR="00A256DB" w:rsidRPr="00D77129">
          <w:rPr>
            <w:rStyle w:val="Hyperlink"/>
          </w:rPr>
          <w:t>The Union Makes Us Strong: TUC History Online</w:t>
        </w:r>
      </w:hyperlink>
    </w:p>
    <w:p w14:paraId="526351CF" w14:textId="77777777" w:rsidR="00A256DB" w:rsidRDefault="00A64F5F" w:rsidP="00A256DB">
      <w:hyperlink r:id="rId14" w:history="1">
        <w:r w:rsidR="00A256DB" w:rsidRPr="00D77129">
          <w:rPr>
            <w:rStyle w:val="Hyperlink"/>
          </w:rPr>
          <w:t>The Workers War: Home Front Recalled</w:t>
        </w:r>
      </w:hyperlink>
    </w:p>
    <w:p w14:paraId="0BBBFE30" w14:textId="47464E23" w:rsidR="001F31E5" w:rsidRPr="004C5BD1" w:rsidRDefault="00A64F5F" w:rsidP="00A256DB">
      <w:hyperlink r:id="rId15" w:history="1">
        <w:r w:rsidR="00A256DB" w:rsidRPr="00D77129">
          <w:rPr>
            <w:rStyle w:val="Hyperlink"/>
          </w:rPr>
          <w:t>Winning Equal Pay: The Value of Women’s Work</w:t>
        </w:r>
      </w:hyperlink>
    </w:p>
    <w:sectPr w:rsidR="001F31E5" w:rsidRPr="004C5B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0369" w14:textId="77777777" w:rsidR="00A64F5F" w:rsidRDefault="00A64F5F">
      <w:pPr>
        <w:spacing w:after="0" w:line="240" w:lineRule="auto"/>
      </w:pPr>
      <w:r>
        <w:separator/>
      </w:r>
    </w:p>
  </w:endnote>
  <w:endnote w:type="continuationSeparator" w:id="0">
    <w:p w14:paraId="32A879F1" w14:textId="77777777" w:rsidR="00A64F5F" w:rsidRDefault="00A6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269" w14:textId="77777777" w:rsidR="00570CA8" w:rsidRDefault="00570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5DD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9C2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7CC1" w14:textId="77777777" w:rsidR="00A64F5F" w:rsidRDefault="00A64F5F">
      <w:pPr>
        <w:spacing w:after="0" w:line="240" w:lineRule="auto"/>
      </w:pPr>
      <w:r>
        <w:separator/>
      </w:r>
    </w:p>
  </w:footnote>
  <w:footnote w:type="continuationSeparator" w:id="0">
    <w:p w14:paraId="5B08707A" w14:textId="77777777" w:rsidR="00A64F5F" w:rsidRDefault="00A6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411" w14:textId="77777777" w:rsidR="00570CA8" w:rsidRDefault="0057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343" w14:textId="77777777" w:rsidR="00570CA8" w:rsidRDefault="00570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FB" w14:textId="2A1DE30C" w:rsidR="001F31E5" w:rsidRDefault="00E133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DD8BEA" wp14:editId="1E9E1971">
          <wp:simplePos x="0" y="0"/>
          <wp:positionH relativeFrom="column">
            <wp:posOffset>5065096</wp:posOffset>
          </wp:positionH>
          <wp:positionV relativeFrom="paragraph">
            <wp:posOffset>-668655</wp:posOffset>
          </wp:positionV>
          <wp:extent cx="876748" cy="576534"/>
          <wp:effectExtent l="0" t="0" r="0" b="0"/>
          <wp:wrapNone/>
          <wp:docPr id="5" name="Picture 5" descr="Logo for TUC with subheading: Changing the world of work for goo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for TUC with subheading: Changing the world of work for good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48" cy="57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84">
      <w:rPr>
        <w:noProof/>
      </w:rPr>
      <w:drawing>
        <wp:anchor distT="0" distB="0" distL="114300" distR="114300" simplePos="0" relativeHeight="251658240" behindDoc="0" locked="0" layoutInCell="1" hidden="0" allowOverlap="1" wp14:anchorId="50643C11" wp14:editId="786916EB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86A"/>
    <w:multiLevelType w:val="hybridMultilevel"/>
    <w:tmpl w:val="4D02B23C"/>
    <w:lvl w:ilvl="0" w:tplc="A9EC4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AAF258">
      <w:numFmt w:val="bullet"/>
      <w:lvlText w:val="•"/>
      <w:lvlJc w:val="left"/>
      <w:pPr>
        <w:ind w:left="1362" w:hanging="360"/>
      </w:pPr>
      <w:rPr>
        <w:rFonts w:hint="default"/>
        <w:lang w:val="en-GB" w:eastAsia="en-US" w:bidi="ar-SA"/>
      </w:rPr>
    </w:lvl>
    <w:lvl w:ilvl="2" w:tplc="B48C00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5C9675F0">
      <w:numFmt w:val="bullet"/>
      <w:lvlText w:val="•"/>
      <w:lvlJc w:val="left"/>
      <w:pPr>
        <w:ind w:left="2447" w:hanging="360"/>
      </w:pPr>
      <w:rPr>
        <w:rFonts w:hint="default"/>
        <w:lang w:val="en-GB" w:eastAsia="en-US" w:bidi="ar-SA"/>
      </w:rPr>
    </w:lvl>
    <w:lvl w:ilvl="4" w:tplc="F06ACAF2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5" w:tplc="4DAAF79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6" w:tplc="EE12A6AE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7" w:tplc="CF546EDE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8" w:tplc="A846FA1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113184"/>
    <w:multiLevelType w:val="multilevel"/>
    <w:tmpl w:val="A3CC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5"/>
    <w:rsid w:val="000B772C"/>
    <w:rsid w:val="001F31E5"/>
    <w:rsid w:val="004C5BD1"/>
    <w:rsid w:val="00570CA8"/>
    <w:rsid w:val="00696720"/>
    <w:rsid w:val="00747684"/>
    <w:rsid w:val="00842752"/>
    <w:rsid w:val="008D089B"/>
    <w:rsid w:val="00A256DB"/>
    <w:rsid w:val="00A64F5F"/>
    <w:rsid w:val="00D52F0F"/>
    <w:rsid w:val="00E13323"/>
    <w:rsid w:val="00E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8F0"/>
  <w15:docId w15:val="{AD36BB19-B07D-6145-BA43-F19734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widowControl w:val="0"/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0"/>
  </w:style>
  <w:style w:type="paragraph" w:styleId="Footer">
    <w:name w:val="footer"/>
    <w:basedOn w:val="Normal"/>
    <w:link w:val="Foot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0"/>
  </w:style>
  <w:style w:type="paragraph" w:customStyle="1" w:styleId="TableParagraph">
    <w:name w:val="Table Paragraph"/>
    <w:basedOn w:val="Normal"/>
    <w:uiPriority w:val="1"/>
    <w:qFormat/>
    <w:rsid w:val="004C5BD1"/>
    <w:pPr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5B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256DB"/>
    <w:pPr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56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onhistory.inf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student.londonmet.ac.uk/library/using-the-library/special-collections/trades-union-congress-library-collection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clib@londonmet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onhistory.info/equalpa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onhistory.info/workerswar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Walsh</dc:creator>
  <cp:lastModifiedBy>Anna Walsh</cp:lastModifiedBy>
  <cp:revision>3</cp:revision>
  <cp:lastPrinted>2022-01-13T14:26:00Z</cp:lastPrinted>
  <dcterms:created xsi:type="dcterms:W3CDTF">2022-01-17T10:30:00Z</dcterms:created>
  <dcterms:modified xsi:type="dcterms:W3CDTF">2022-01-19T11:26:00Z</dcterms:modified>
</cp:coreProperties>
</file>