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1199" w14:textId="611E17C7" w:rsidR="00CB0F5F" w:rsidRPr="00054EB5" w:rsidRDefault="00054EB5" w:rsidP="00054EB5">
      <w:pPr>
        <w:pStyle w:val="Heading1"/>
        <w:spacing w:line="360" w:lineRule="auto"/>
        <w:rPr>
          <w:snapToGrid/>
          <w:color w:val="000000" w:themeColor="text1"/>
        </w:rPr>
      </w:pPr>
      <w:r w:rsidRPr="00054EB5">
        <w:rPr>
          <w:snapToGrid/>
          <w:color w:val="000000" w:themeColor="text1"/>
        </w:rPr>
        <w:t>General Regulations and General Student Regulations</w:t>
      </w:r>
      <w:r w:rsidR="00CB0F5F" w:rsidRPr="00054EB5">
        <w:rPr>
          <w:snapToGrid/>
          <w:color w:val="000000" w:themeColor="text1"/>
        </w:rPr>
        <w:t xml:space="preserve"> – Changes for</w:t>
      </w:r>
      <w:r>
        <w:rPr>
          <w:snapToGrid/>
          <w:color w:val="000000" w:themeColor="text1"/>
        </w:rPr>
        <w:t xml:space="preserve"> Academic Year</w:t>
      </w:r>
      <w:r w:rsidR="00CB0F5F" w:rsidRPr="00054EB5">
        <w:rPr>
          <w:snapToGrid/>
          <w:color w:val="000000" w:themeColor="text1"/>
        </w:rPr>
        <w:t xml:space="preserve"> 2023/24</w:t>
      </w:r>
    </w:p>
    <w:p w14:paraId="3EFF4B98" w14:textId="23487FAD" w:rsidR="00CB0F5F" w:rsidRPr="00054EB5" w:rsidRDefault="00054EB5" w:rsidP="00054EB5">
      <w:pPr>
        <w:widowControl/>
        <w:suppressAutoHyphens w:val="0"/>
        <w:spacing w:before="100" w:beforeAutospacing="1" w:after="100" w:afterAutospacing="1"/>
        <w:rPr>
          <w:snapToGrid/>
          <w:color w:val="000000" w:themeColor="text1"/>
          <w:szCs w:val="24"/>
        </w:rPr>
      </w:pPr>
      <w:r w:rsidRPr="00054EB5">
        <w:rPr>
          <w:snapToGrid/>
          <w:color w:val="000000" w:themeColor="text1"/>
          <w:szCs w:val="24"/>
        </w:rPr>
        <w:t>The table below</w:t>
      </w:r>
      <w:r w:rsidR="00CB0F5F" w:rsidRPr="00054EB5">
        <w:rPr>
          <w:snapToGrid/>
          <w:color w:val="000000" w:themeColor="text1"/>
          <w:szCs w:val="24"/>
        </w:rPr>
        <w:t xml:space="preserve"> outlines a number of changes to the </w:t>
      </w:r>
      <w:r w:rsidRPr="00054EB5">
        <w:rPr>
          <w:snapToGrid/>
          <w:color w:val="000000" w:themeColor="text1"/>
          <w:szCs w:val="24"/>
        </w:rPr>
        <w:t>General</w:t>
      </w:r>
      <w:r w:rsidR="00CB0F5F" w:rsidRPr="00054EB5">
        <w:rPr>
          <w:snapToGrid/>
          <w:color w:val="000000" w:themeColor="text1"/>
          <w:szCs w:val="24"/>
        </w:rPr>
        <w:t xml:space="preserve"> Regulations </w:t>
      </w:r>
      <w:r w:rsidRPr="00054EB5">
        <w:rPr>
          <w:snapToGrid/>
          <w:color w:val="000000" w:themeColor="text1"/>
          <w:szCs w:val="24"/>
        </w:rPr>
        <w:t xml:space="preserve">and General Student Regulations </w:t>
      </w:r>
      <w:r w:rsidR="00CB0F5F" w:rsidRPr="00054EB5">
        <w:rPr>
          <w:snapToGrid/>
          <w:color w:val="000000" w:themeColor="text1"/>
          <w:szCs w:val="24"/>
        </w:rPr>
        <w:t xml:space="preserve">for the 2023/24 academic year. </w:t>
      </w:r>
      <w:r w:rsidRPr="00054EB5">
        <w:rPr>
          <w:snapToGrid/>
          <w:color w:val="000000" w:themeColor="text1"/>
          <w:szCs w:val="24"/>
        </w:rPr>
        <w:t>These changes were approved by the Academic Board.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054EB5" w:rsidRPr="00054EB5" w14:paraId="0F1D83B4" w14:textId="77777777" w:rsidTr="00054EB5">
        <w:trPr>
          <w:tblHeader/>
        </w:trPr>
        <w:tc>
          <w:tcPr>
            <w:tcW w:w="2802" w:type="dxa"/>
            <w:shd w:val="clear" w:color="auto" w:fill="D9D9D9" w:themeFill="background1" w:themeFillShade="D9"/>
          </w:tcPr>
          <w:p w14:paraId="159E7FF5"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Regulation</w:t>
            </w:r>
          </w:p>
        </w:tc>
        <w:tc>
          <w:tcPr>
            <w:tcW w:w="6237" w:type="dxa"/>
            <w:shd w:val="clear" w:color="auto" w:fill="D9D9D9" w:themeFill="background1" w:themeFillShade="D9"/>
          </w:tcPr>
          <w:p w14:paraId="7C9F877B"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Summary of changes</w:t>
            </w:r>
          </w:p>
        </w:tc>
      </w:tr>
      <w:tr w:rsidR="00054EB5" w:rsidRPr="00054EB5" w14:paraId="4FACD387" w14:textId="77777777" w:rsidTr="00252814">
        <w:tc>
          <w:tcPr>
            <w:tcW w:w="2802" w:type="dxa"/>
            <w:shd w:val="clear" w:color="auto" w:fill="auto"/>
          </w:tcPr>
          <w:p w14:paraId="7A525A57"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GR 01 - Application, Interpretation and Transitional Provisions</w:t>
            </w:r>
          </w:p>
        </w:tc>
        <w:tc>
          <w:tcPr>
            <w:tcW w:w="6237" w:type="dxa"/>
            <w:shd w:val="clear" w:color="auto" w:fill="auto"/>
          </w:tcPr>
          <w:p w14:paraId="4460C686"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Updates in line with organisational and job role changes.</w:t>
            </w:r>
          </w:p>
        </w:tc>
      </w:tr>
      <w:tr w:rsidR="00054EB5" w:rsidRPr="00054EB5" w14:paraId="62AED9DD" w14:textId="77777777" w:rsidTr="00252814">
        <w:tc>
          <w:tcPr>
            <w:tcW w:w="2802" w:type="dxa"/>
            <w:shd w:val="clear" w:color="auto" w:fill="auto"/>
          </w:tcPr>
          <w:p w14:paraId="343BBB82"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GR 02 - Changes to regulations and courses</w:t>
            </w:r>
          </w:p>
        </w:tc>
        <w:tc>
          <w:tcPr>
            <w:tcW w:w="6237" w:type="dxa"/>
            <w:shd w:val="clear" w:color="auto" w:fill="auto"/>
          </w:tcPr>
          <w:p w14:paraId="72953F6B"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Minor changes</w:t>
            </w:r>
          </w:p>
        </w:tc>
      </w:tr>
      <w:tr w:rsidR="00054EB5" w:rsidRPr="00054EB5" w14:paraId="3BB81498" w14:textId="77777777" w:rsidTr="00252814">
        <w:tc>
          <w:tcPr>
            <w:tcW w:w="2802" w:type="dxa"/>
            <w:shd w:val="clear" w:color="auto" w:fill="auto"/>
          </w:tcPr>
          <w:p w14:paraId="68E8E600"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GSR 01 – International Students</w:t>
            </w:r>
          </w:p>
        </w:tc>
        <w:tc>
          <w:tcPr>
            <w:tcW w:w="6237" w:type="dxa"/>
            <w:shd w:val="clear" w:color="auto" w:fill="auto"/>
          </w:tcPr>
          <w:p w14:paraId="49CC6B5C"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 xml:space="preserve">Admissions Requirements </w:t>
            </w:r>
          </w:p>
          <w:p w14:paraId="1B52408C" w14:textId="5DC782FF"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Additional documentary evidence from</w:t>
            </w:r>
            <w:r w:rsidR="00745776">
              <w:rPr>
                <w:rFonts w:eastAsia="Calibri"/>
                <w:color w:val="000000" w:themeColor="text1"/>
                <w:kern w:val="2"/>
                <w:sz w:val="22"/>
                <w:szCs w:val="22"/>
                <w:lang w:eastAsia="en-US"/>
              </w:rPr>
              <w:t xml:space="preserve"> the </w:t>
            </w:r>
            <w:r w:rsidRPr="00054EB5">
              <w:rPr>
                <w:rFonts w:eastAsia="Calibri"/>
                <w:color w:val="000000" w:themeColor="text1"/>
                <w:kern w:val="2"/>
                <w:sz w:val="22"/>
                <w:szCs w:val="22"/>
                <w:lang w:eastAsia="en-US"/>
              </w:rPr>
              <w:t xml:space="preserve"> </w:t>
            </w:r>
            <w:r w:rsidR="00745776" w:rsidRPr="00745776">
              <w:rPr>
                <w:rFonts w:eastAsia="Calibri"/>
                <w:color w:val="000000" w:themeColor="text1"/>
                <w:kern w:val="2"/>
                <w:sz w:val="22"/>
                <w:szCs w:val="22"/>
                <w:lang w:eastAsia="en-US"/>
              </w:rPr>
              <w:t>Education Counselling and Credit Transfer Information Service</w:t>
            </w:r>
            <w:r w:rsidR="00745776">
              <w:rPr>
                <w:rFonts w:eastAsia="Calibri"/>
                <w:color w:val="000000" w:themeColor="text1"/>
                <w:kern w:val="2"/>
                <w:sz w:val="22"/>
                <w:szCs w:val="22"/>
                <w:lang w:eastAsia="en-US"/>
              </w:rPr>
              <w:t xml:space="preserve"> (</w:t>
            </w:r>
            <w:proofErr w:type="spellStart"/>
            <w:r w:rsidRPr="00054EB5">
              <w:rPr>
                <w:rFonts w:eastAsia="Calibri"/>
                <w:color w:val="000000" w:themeColor="text1"/>
                <w:kern w:val="2"/>
                <w:sz w:val="22"/>
                <w:szCs w:val="22"/>
                <w:lang w:eastAsia="en-US"/>
              </w:rPr>
              <w:t>E</w:t>
            </w:r>
            <w:r w:rsidR="00745776">
              <w:rPr>
                <w:rFonts w:eastAsia="Calibri"/>
                <w:color w:val="000000" w:themeColor="text1"/>
                <w:kern w:val="2"/>
                <w:sz w:val="22"/>
                <w:szCs w:val="22"/>
                <w:lang w:eastAsia="en-US"/>
              </w:rPr>
              <w:t>cctis</w:t>
            </w:r>
            <w:proofErr w:type="spellEnd"/>
            <w:r w:rsidR="00745776">
              <w:rPr>
                <w:rFonts w:eastAsia="Calibri"/>
                <w:color w:val="000000" w:themeColor="text1"/>
                <w:kern w:val="2"/>
                <w:sz w:val="22"/>
                <w:szCs w:val="22"/>
                <w:lang w:eastAsia="en-US"/>
              </w:rPr>
              <w:t>)</w:t>
            </w:r>
            <w:r w:rsidRPr="00054EB5">
              <w:rPr>
                <w:rFonts w:eastAsia="Calibri"/>
                <w:color w:val="000000" w:themeColor="text1"/>
                <w:kern w:val="2"/>
                <w:sz w:val="22"/>
                <w:szCs w:val="22"/>
                <w:lang w:eastAsia="en-US"/>
              </w:rPr>
              <w:t xml:space="preserve"> to prove an overseas qualification meets the requirements set out in UK Immigration Rules may be required.</w:t>
            </w:r>
          </w:p>
          <w:p w14:paraId="3D82F454" w14:textId="1D7BCE62"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Issue of Confirmation of Acceptance for Studies</w:t>
            </w:r>
            <w:r w:rsidR="00745776">
              <w:rPr>
                <w:rFonts w:eastAsia="Calibri"/>
                <w:b/>
                <w:bCs/>
                <w:color w:val="000000" w:themeColor="text1"/>
                <w:kern w:val="2"/>
                <w:sz w:val="22"/>
                <w:szCs w:val="22"/>
                <w:lang w:eastAsia="en-US"/>
              </w:rPr>
              <w:t xml:space="preserve"> (CAS)</w:t>
            </w:r>
          </w:p>
          <w:p w14:paraId="41C243A7" w14:textId="3DDF82F0"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For students who intend to fund their studies by a local government funding body, removal of requirement for these students to pay a £1000 deposit.</w:t>
            </w:r>
          </w:p>
          <w:p w14:paraId="1E20CA6E" w14:textId="42AF0448"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 xml:space="preserve">International applicant or offer-holder (including those who intend to obtain loan funding through private loan funding organisations/banks or any US non-federal loan program previously would pay a deposit of £3,000. A fee of 50% of the full listed annual tuition fee will be due at enrolment and will include the deposit paid. This has changed to a deposit of </w:t>
            </w:r>
            <w:r w:rsidRPr="00054EB5">
              <w:rPr>
                <w:rFonts w:eastAsia="Calibri"/>
                <w:color w:val="000000" w:themeColor="text1"/>
                <w:kern w:val="2"/>
                <w:sz w:val="22"/>
                <w:szCs w:val="22"/>
                <w:lang w:eastAsia="en-US"/>
              </w:rPr>
              <w:lastRenderedPageBreak/>
              <w:t>50% of the full listed annual tuition fee.  The remaining balance of the year’s tuition fee will be due within three months from enrolment.</w:t>
            </w:r>
          </w:p>
          <w:p w14:paraId="606C3B00" w14:textId="4F4428DB"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Addition of a point: The applicant or offer-holder will need to have an official confirmation from the University’s Admissions or International Development Team to confirm they have been awarded with a scholarship, outlining the name of their course, the dates they will be studying and the value of the scholarship they have been awarded.</w:t>
            </w:r>
          </w:p>
          <w:p w14:paraId="33204E63"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After enrolment</w:t>
            </w:r>
          </w:p>
          <w:p w14:paraId="796BE834"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Addition of point explaining the consequence of not providing UK contact details or not informing the University of any changes (suspension from the course which will lead to termination of enrolment and withdrawal of visa sponsorship).</w:t>
            </w:r>
          </w:p>
        </w:tc>
      </w:tr>
      <w:tr w:rsidR="00054EB5" w:rsidRPr="00054EB5" w14:paraId="1F033C37" w14:textId="77777777" w:rsidTr="00252814">
        <w:tc>
          <w:tcPr>
            <w:tcW w:w="2802" w:type="dxa"/>
            <w:shd w:val="clear" w:color="auto" w:fill="auto"/>
          </w:tcPr>
          <w:p w14:paraId="1FFACEE2"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lastRenderedPageBreak/>
              <w:t>GSR 02 – Criminal Convictions</w:t>
            </w:r>
          </w:p>
        </w:tc>
        <w:tc>
          <w:tcPr>
            <w:tcW w:w="6237" w:type="dxa"/>
            <w:shd w:val="clear" w:color="auto" w:fill="auto"/>
          </w:tcPr>
          <w:p w14:paraId="73DF6866"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Disclosure of unspent criminal conviction by offer holders</w:t>
            </w:r>
          </w:p>
          <w:p w14:paraId="2827B0F3" w14:textId="04E0263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Changes to the process of deciding whether an offer holder should be permitted to register as a student following declaration of an unspent conviction relating to a relevant officer. Decision now sits with the Dean of Students or nominee (previously Head of School and Course Leader)</w:t>
            </w:r>
          </w:p>
          <w:p w14:paraId="15BC3398"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Disclosure of criminal convictions when applying to relevant courses</w:t>
            </w:r>
          </w:p>
          <w:p w14:paraId="4D88B932" w14:textId="42625F84"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Heads of Subject will consider whether to recommend that the applicant be made an offer, reject their application, or if an offer-holder, be permitted to register as a student. This was previously Head of School.</w:t>
            </w:r>
          </w:p>
          <w:p w14:paraId="11357EEB"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Criminal proceedings while a student</w:t>
            </w:r>
          </w:p>
          <w:p w14:paraId="4C52C959"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 xml:space="preserve">Where a student has been convicted of an offence and </w:t>
            </w:r>
            <w:r w:rsidRPr="00054EB5">
              <w:rPr>
                <w:rFonts w:eastAsia="Calibri"/>
                <w:color w:val="000000" w:themeColor="text1"/>
                <w:kern w:val="2"/>
                <w:sz w:val="22"/>
                <w:szCs w:val="22"/>
                <w:lang w:eastAsia="en-US"/>
              </w:rPr>
              <w:lastRenderedPageBreak/>
              <w:t>receives a custodial sentence of 24 months or more,  it is now the Dean of Students that may terminate a student’s registration. This was previously the University Secretary.</w:t>
            </w:r>
          </w:p>
        </w:tc>
      </w:tr>
      <w:tr w:rsidR="00054EB5" w:rsidRPr="00054EB5" w14:paraId="06E6804F" w14:textId="77777777" w:rsidTr="00252814">
        <w:tc>
          <w:tcPr>
            <w:tcW w:w="2802" w:type="dxa"/>
            <w:shd w:val="clear" w:color="auto" w:fill="auto"/>
          </w:tcPr>
          <w:p w14:paraId="5A29DE80"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lastRenderedPageBreak/>
              <w:t>GSR 03 – Tuition Fees</w:t>
            </w:r>
          </w:p>
        </w:tc>
        <w:tc>
          <w:tcPr>
            <w:tcW w:w="6237" w:type="dxa"/>
            <w:shd w:val="clear" w:color="auto" w:fill="auto"/>
          </w:tcPr>
          <w:p w14:paraId="1349AA25"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Refunds</w:t>
            </w:r>
          </w:p>
          <w:p w14:paraId="0C111886"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Table updated to show that full-time international students with enrolments terminated by the University shall not receive a tuition free refund. Additionally, students who have provided fraudulent documentation or misrepresentation of evidence to be admitted on course resulting in withdrawal of Admissions or termination of Enrolment, shall not receive a refund.</w:t>
            </w:r>
          </w:p>
        </w:tc>
      </w:tr>
      <w:tr w:rsidR="00054EB5" w:rsidRPr="00054EB5" w14:paraId="5ADA7FD9" w14:textId="77777777" w:rsidTr="00252814">
        <w:tc>
          <w:tcPr>
            <w:tcW w:w="2802" w:type="dxa"/>
            <w:shd w:val="clear" w:color="auto" w:fill="auto"/>
          </w:tcPr>
          <w:p w14:paraId="53D50FF2"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GSR 04 – Use of Premises and Resources</w:t>
            </w:r>
          </w:p>
        </w:tc>
        <w:tc>
          <w:tcPr>
            <w:tcW w:w="6237" w:type="dxa"/>
            <w:shd w:val="clear" w:color="auto" w:fill="auto"/>
          </w:tcPr>
          <w:p w14:paraId="2FD18810"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Use of Libraries</w:t>
            </w:r>
          </w:p>
          <w:p w14:paraId="6654B617" w14:textId="2626B87D"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Permission or approval given to use the Libraries may be revoked or withdrawn at any time. This is no longer subject to the periods of notice or requirements set out in the Library Code. These are not written in the Library Code.</w:t>
            </w:r>
          </w:p>
        </w:tc>
      </w:tr>
      <w:tr w:rsidR="00054EB5" w:rsidRPr="00054EB5" w14:paraId="57C4E92D" w14:textId="77777777" w:rsidTr="00252814">
        <w:tc>
          <w:tcPr>
            <w:tcW w:w="2802" w:type="dxa"/>
            <w:shd w:val="clear" w:color="auto" w:fill="auto"/>
          </w:tcPr>
          <w:p w14:paraId="0B678C77"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GSR 05 – Intellectual Property and Research Conduct</w:t>
            </w:r>
          </w:p>
        </w:tc>
        <w:tc>
          <w:tcPr>
            <w:tcW w:w="6237" w:type="dxa"/>
            <w:shd w:val="clear" w:color="auto" w:fill="auto"/>
          </w:tcPr>
          <w:p w14:paraId="1E846289"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Minor changes</w:t>
            </w:r>
          </w:p>
        </w:tc>
      </w:tr>
      <w:tr w:rsidR="00054EB5" w:rsidRPr="00054EB5" w14:paraId="77D6F3C3" w14:textId="77777777" w:rsidTr="00252814">
        <w:tc>
          <w:tcPr>
            <w:tcW w:w="2802" w:type="dxa"/>
            <w:shd w:val="clear" w:color="auto" w:fill="auto"/>
          </w:tcPr>
          <w:p w14:paraId="38324129"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GSR 06 – Student Records</w:t>
            </w:r>
          </w:p>
        </w:tc>
        <w:tc>
          <w:tcPr>
            <w:tcW w:w="6237" w:type="dxa"/>
            <w:shd w:val="clear" w:color="auto" w:fill="auto"/>
          </w:tcPr>
          <w:p w14:paraId="7AFA8540"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Minor changes</w:t>
            </w:r>
          </w:p>
        </w:tc>
      </w:tr>
      <w:tr w:rsidR="00054EB5" w:rsidRPr="00054EB5" w14:paraId="748CD46A" w14:textId="77777777" w:rsidTr="00252814">
        <w:tc>
          <w:tcPr>
            <w:tcW w:w="2802" w:type="dxa"/>
            <w:shd w:val="clear" w:color="auto" w:fill="auto"/>
          </w:tcPr>
          <w:p w14:paraId="0C528870"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GSR 07 - Health and Safety, Liability and Miscellaneous Regulations</w:t>
            </w:r>
          </w:p>
        </w:tc>
        <w:tc>
          <w:tcPr>
            <w:tcW w:w="6237" w:type="dxa"/>
            <w:shd w:val="clear" w:color="auto" w:fill="auto"/>
          </w:tcPr>
          <w:p w14:paraId="5548E942" w14:textId="77777777" w:rsidR="00054EB5" w:rsidRPr="00054EB5" w:rsidRDefault="00054EB5" w:rsidP="00054EB5">
            <w:pPr>
              <w:rPr>
                <w:rFonts w:eastAsia="Calibri"/>
                <w:b/>
                <w:bCs/>
                <w:color w:val="000000" w:themeColor="text1"/>
                <w:kern w:val="2"/>
                <w:sz w:val="22"/>
                <w:szCs w:val="22"/>
                <w:lang w:eastAsia="en-US"/>
              </w:rPr>
            </w:pPr>
            <w:r w:rsidRPr="00054EB5">
              <w:rPr>
                <w:rFonts w:eastAsia="Calibri"/>
                <w:b/>
                <w:bCs/>
                <w:color w:val="000000" w:themeColor="text1"/>
                <w:kern w:val="2"/>
                <w:sz w:val="22"/>
                <w:szCs w:val="22"/>
                <w:lang w:eastAsia="en-US"/>
              </w:rPr>
              <w:t>Health and Safety</w:t>
            </w:r>
          </w:p>
          <w:p w14:paraId="69296822" w14:textId="55469E02"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 xml:space="preserve">Reference added to health and safety roles and responsibilities of students, prospective students, staff and others on University premises outlined in the </w:t>
            </w:r>
            <w:r w:rsidR="00EE525A">
              <w:rPr>
                <w:rFonts w:eastAsia="Calibri"/>
                <w:color w:val="000000" w:themeColor="text1"/>
                <w:kern w:val="2"/>
                <w:sz w:val="22"/>
                <w:szCs w:val="22"/>
                <w:lang w:eastAsia="en-US"/>
              </w:rPr>
              <w:br/>
            </w:r>
            <w:hyperlink r:id="rId12" w:history="1">
              <w:r w:rsidRPr="00054EB5">
                <w:rPr>
                  <w:rFonts w:eastAsia="Calibri"/>
                  <w:color w:val="000000" w:themeColor="text1"/>
                  <w:kern w:val="2"/>
                  <w:sz w:val="22"/>
                  <w:szCs w:val="22"/>
                  <w:u w:val="single"/>
                  <w:lang w:eastAsia="en-US"/>
                </w:rPr>
                <w:t>Health and</w:t>
              </w:r>
              <w:r w:rsidR="00EE525A">
                <w:rPr>
                  <w:rFonts w:eastAsia="Calibri"/>
                  <w:color w:val="000000" w:themeColor="text1"/>
                  <w:kern w:val="2"/>
                  <w:sz w:val="22"/>
                  <w:szCs w:val="22"/>
                  <w:u w:val="single"/>
                  <w:lang w:eastAsia="en-US"/>
                </w:rPr>
                <w:t xml:space="preserve"> </w:t>
              </w:r>
              <w:r w:rsidRPr="00054EB5">
                <w:rPr>
                  <w:rFonts w:eastAsia="Calibri"/>
                  <w:color w:val="000000" w:themeColor="text1"/>
                  <w:kern w:val="2"/>
                  <w:sz w:val="22"/>
                  <w:szCs w:val="22"/>
                  <w:u w:val="single"/>
                  <w:lang w:eastAsia="en-US"/>
                </w:rPr>
                <w:t>Safety Organisational Arrangements Policy</w:t>
              </w:r>
            </w:hyperlink>
            <w:r w:rsidRPr="00054EB5">
              <w:rPr>
                <w:rFonts w:eastAsia="Calibri"/>
                <w:color w:val="000000" w:themeColor="text1"/>
                <w:kern w:val="2"/>
                <w:sz w:val="22"/>
                <w:szCs w:val="22"/>
                <w:lang w:eastAsia="en-US"/>
              </w:rPr>
              <w:t>.</w:t>
            </w:r>
          </w:p>
        </w:tc>
      </w:tr>
      <w:tr w:rsidR="00054EB5" w:rsidRPr="00054EB5" w14:paraId="531BCD86" w14:textId="77777777" w:rsidTr="00252814">
        <w:tc>
          <w:tcPr>
            <w:tcW w:w="2802" w:type="dxa"/>
            <w:shd w:val="clear" w:color="auto" w:fill="auto"/>
          </w:tcPr>
          <w:p w14:paraId="59BDCE35"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GSR 08 - Post-Enrolment Obligations</w:t>
            </w:r>
          </w:p>
        </w:tc>
        <w:tc>
          <w:tcPr>
            <w:tcW w:w="6237" w:type="dxa"/>
            <w:shd w:val="clear" w:color="auto" w:fill="auto"/>
          </w:tcPr>
          <w:p w14:paraId="619CB014" w14:textId="77777777" w:rsidR="00054EB5" w:rsidRPr="00054EB5" w:rsidRDefault="00054EB5" w:rsidP="00054EB5">
            <w:pPr>
              <w:rPr>
                <w:rFonts w:eastAsia="Calibri"/>
                <w:color w:val="000000" w:themeColor="text1"/>
                <w:kern w:val="2"/>
                <w:sz w:val="22"/>
                <w:szCs w:val="22"/>
                <w:lang w:eastAsia="en-US"/>
              </w:rPr>
            </w:pPr>
            <w:r w:rsidRPr="00054EB5">
              <w:rPr>
                <w:rFonts w:eastAsia="Calibri"/>
                <w:color w:val="000000" w:themeColor="text1"/>
                <w:kern w:val="2"/>
                <w:sz w:val="22"/>
                <w:szCs w:val="22"/>
                <w:lang w:eastAsia="en-US"/>
              </w:rPr>
              <w:t>Minor changes</w:t>
            </w:r>
          </w:p>
        </w:tc>
      </w:tr>
    </w:tbl>
    <w:p w14:paraId="6A6041CB" w14:textId="77777777" w:rsidR="00A071E2" w:rsidRPr="00054EB5" w:rsidRDefault="00A071E2" w:rsidP="00054EB5">
      <w:pPr>
        <w:widowControl/>
        <w:suppressAutoHyphens w:val="0"/>
        <w:spacing w:before="100" w:beforeAutospacing="1" w:after="100" w:afterAutospacing="1"/>
        <w:rPr>
          <w:color w:val="000000" w:themeColor="text1"/>
        </w:rPr>
      </w:pPr>
    </w:p>
    <w:sectPr w:rsidR="00A071E2" w:rsidRPr="00054EB5" w:rsidSect="005B3AE2">
      <w:footerReference w:type="default" r:id="rId13"/>
      <w:headerReference w:type="first" r:id="rId14"/>
      <w:footerReference w:type="first" r:id="rId15"/>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99B5" w14:textId="77777777" w:rsidR="0021623A" w:rsidRDefault="0021623A">
      <w:r>
        <w:separator/>
      </w:r>
    </w:p>
  </w:endnote>
  <w:endnote w:type="continuationSeparator" w:id="0">
    <w:p w14:paraId="4D1C5635" w14:textId="77777777" w:rsidR="0021623A" w:rsidRDefault="0021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3DE2"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AF80"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4B3" w14:textId="77777777" w:rsidR="0021623A" w:rsidRDefault="0021623A">
      <w:r>
        <w:separator/>
      </w:r>
    </w:p>
  </w:footnote>
  <w:footnote w:type="continuationSeparator" w:id="0">
    <w:p w14:paraId="09E9FBF0" w14:textId="77777777" w:rsidR="0021623A" w:rsidRDefault="0021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47DF"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97B0C21" wp14:editId="608D23DB">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73"/>
    <w:multiLevelType w:val="hybridMultilevel"/>
    <w:tmpl w:val="773A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40D84"/>
    <w:multiLevelType w:val="hybridMultilevel"/>
    <w:tmpl w:val="6C3A4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31321A"/>
    <w:multiLevelType w:val="hybridMultilevel"/>
    <w:tmpl w:val="91B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19EC"/>
    <w:multiLevelType w:val="hybridMultilevel"/>
    <w:tmpl w:val="6C7A1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423E"/>
    <w:multiLevelType w:val="hybridMultilevel"/>
    <w:tmpl w:val="09A43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856B51"/>
    <w:multiLevelType w:val="hybridMultilevel"/>
    <w:tmpl w:val="C37E5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B05548"/>
    <w:multiLevelType w:val="hybridMultilevel"/>
    <w:tmpl w:val="D5E6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05B75"/>
    <w:multiLevelType w:val="hybridMultilevel"/>
    <w:tmpl w:val="C90EA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2F3280"/>
    <w:multiLevelType w:val="hybridMultilevel"/>
    <w:tmpl w:val="1AA81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B47CA3"/>
    <w:multiLevelType w:val="hybridMultilevel"/>
    <w:tmpl w:val="9EBC3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125775"/>
    <w:multiLevelType w:val="hybridMultilevel"/>
    <w:tmpl w:val="F884A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11088B"/>
    <w:multiLevelType w:val="hybridMultilevel"/>
    <w:tmpl w:val="F806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004D6"/>
    <w:multiLevelType w:val="hybridMultilevel"/>
    <w:tmpl w:val="9046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75980"/>
    <w:multiLevelType w:val="hybridMultilevel"/>
    <w:tmpl w:val="8AAC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91238"/>
    <w:multiLevelType w:val="hybridMultilevel"/>
    <w:tmpl w:val="46909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BF1618"/>
    <w:multiLevelType w:val="multilevel"/>
    <w:tmpl w:val="A3B289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493642"/>
    <w:multiLevelType w:val="hybridMultilevel"/>
    <w:tmpl w:val="82E4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41D88"/>
    <w:multiLevelType w:val="hybridMultilevel"/>
    <w:tmpl w:val="5FA25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BE3350"/>
    <w:multiLevelType w:val="hybridMultilevel"/>
    <w:tmpl w:val="8294C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BB6CED"/>
    <w:multiLevelType w:val="hybridMultilevel"/>
    <w:tmpl w:val="31342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792824"/>
    <w:multiLevelType w:val="multilevel"/>
    <w:tmpl w:val="2652788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D923C7"/>
    <w:multiLevelType w:val="hybridMultilevel"/>
    <w:tmpl w:val="53266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8B127B"/>
    <w:multiLevelType w:val="hybridMultilevel"/>
    <w:tmpl w:val="61E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949E4"/>
    <w:multiLevelType w:val="hybridMultilevel"/>
    <w:tmpl w:val="0DF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756"/>
    <w:multiLevelType w:val="hybridMultilevel"/>
    <w:tmpl w:val="87A2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125DE8"/>
    <w:multiLevelType w:val="hybridMultilevel"/>
    <w:tmpl w:val="91E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1354E"/>
    <w:multiLevelType w:val="hybridMultilevel"/>
    <w:tmpl w:val="395AB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47BB4"/>
    <w:multiLevelType w:val="hybridMultilevel"/>
    <w:tmpl w:val="17D6D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608CA"/>
    <w:multiLevelType w:val="hybridMultilevel"/>
    <w:tmpl w:val="0B46C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A96F3F"/>
    <w:multiLevelType w:val="hybridMultilevel"/>
    <w:tmpl w:val="44A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D3905"/>
    <w:multiLevelType w:val="hybridMultilevel"/>
    <w:tmpl w:val="4ED6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90051C"/>
    <w:multiLevelType w:val="hybridMultilevel"/>
    <w:tmpl w:val="5CDA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0076B"/>
    <w:multiLevelType w:val="hybridMultilevel"/>
    <w:tmpl w:val="ADC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C3A48"/>
    <w:multiLevelType w:val="hybridMultilevel"/>
    <w:tmpl w:val="28F00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F3135D"/>
    <w:multiLevelType w:val="hybridMultilevel"/>
    <w:tmpl w:val="0D2A4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C45DDC"/>
    <w:multiLevelType w:val="hybridMultilevel"/>
    <w:tmpl w:val="2A94D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63111383">
    <w:abstractNumId w:val="12"/>
  </w:num>
  <w:num w:numId="2" w16cid:durableId="1786270382">
    <w:abstractNumId w:val="4"/>
  </w:num>
  <w:num w:numId="3" w16cid:durableId="1069620676">
    <w:abstractNumId w:val="17"/>
  </w:num>
  <w:num w:numId="4" w16cid:durableId="1181428901">
    <w:abstractNumId w:val="22"/>
  </w:num>
  <w:num w:numId="5" w16cid:durableId="822241318">
    <w:abstractNumId w:val="23"/>
  </w:num>
  <w:num w:numId="6" w16cid:durableId="452990753">
    <w:abstractNumId w:val="37"/>
  </w:num>
  <w:num w:numId="7" w16cid:durableId="1839299803">
    <w:abstractNumId w:val="7"/>
  </w:num>
  <w:num w:numId="8" w16cid:durableId="1065572156">
    <w:abstractNumId w:val="26"/>
  </w:num>
  <w:num w:numId="9" w16cid:durableId="1861966081">
    <w:abstractNumId w:val="19"/>
  </w:num>
  <w:num w:numId="10" w16cid:durableId="1494180828">
    <w:abstractNumId w:val="10"/>
  </w:num>
  <w:num w:numId="11" w16cid:durableId="795217291">
    <w:abstractNumId w:val="21"/>
  </w:num>
  <w:num w:numId="12" w16cid:durableId="1376545382">
    <w:abstractNumId w:val="6"/>
  </w:num>
  <w:num w:numId="13" w16cid:durableId="1005087717">
    <w:abstractNumId w:val="3"/>
  </w:num>
  <w:num w:numId="14" w16cid:durableId="1200052514">
    <w:abstractNumId w:val="16"/>
  </w:num>
  <w:num w:numId="15" w16cid:durableId="1005594152">
    <w:abstractNumId w:val="1"/>
  </w:num>
  <w:num w:numId="16" w16cid:durableId="251746870">
    <w:abstractNumId w:val="8"/>
  </w:num>
  <w:num w:numId="17" w16cid:durableId="778793543">
    <w:abstractNumId w:val="20"/>
  </w:num>
  <w:num w:numId="18" w16cid:durableId="617374836">
    <w:abstractNumId w:val="0"/>
  </w:num>
  <w:num w:numId="19" w16cid:durableId="104614883">
    <w:abstractNumId w:val="5"/>
  </w:num>
  <w:num w:numId="20" w16cid:durableId="788202073">
    <w:abstractNumId w:val="9"/>
  </w:num>
  <w:num w:numId="21" w16cid:durableId="1686321281">
    <w:abstractNumId w:val="35"/>
  </w:num>
  <w:num w:numId="22" w16cid:durableId="1180001352">
    <w:abstractNumId w:val="32"/>
  </w:num>
  <w:num w:numId="23" w16cid:durableId="906261958">
    <w:abstractNumId w:val="36"/>
  </w:num>
  <w:num w:numId="24" w16cid:durableId="157964865">
    <w:abstractNumId w:val="11"/>
  </w:num>
  <w:num w:numId="25" w16cid:durableId="692075489">
    <w:abstractNumId w:val="28"/>
  </w:num>
  <w:num w:numId="26" w16cid:durableId="1631788513">
    <w:abstractNumId w:val="34"/>
  </w:num>
  <w:num w:numId="27" w16cid:durableId="805004567">
    <w:abstractNumId w:val="31"/>
  </w:num>
  <w:num w:numId="28" w16cid:durableId="1221405450">
    <w:abstractNumId w:val="25"/>
  </w:num>
  <w:num w:numId="29" w16cid:durableId="1678968101">
    <w:abstractNumId w:val="2"/>
  </w:num>
  <w:num w:numId="30" w16cid:durableId="649095003">
    <w:abstractNumId w:val="27"/>
  </w:num>
  <w:num w:numId="31" w16cid:durableId="2101178713">
    <w:abstractNumId w:val="13"/>
  </w:num>
  <w:num w:numId="32" w16cid:durableId="19012634">
    <w:abstractNumId w:val="18"/>
  </w:num>
  <w:num w:numId="33" w16cid:durableId="1756048434">
    <w:abstractNumId w:val="14"/>
  </w:num>
  <w:num w:numId="34" w16cid:durableId="1677489554">
    <w:abstractNumId w:val="15"/>
  </w:num>
  <w:num w:numId="35" w16cid:durableId="1276908460">
    <w:abstractNumId w:val="24"/>
  </w:num>
  <w:num w:numId="36" w16cid:durableId="43408883">
    <w:abstractNumId w:val="33"/>
  </w:num>
  <w:num w:numId="37" w16cid:durableId="1812284293">
    <w:abstractNumId w:val="12"/>
  </w:num>
  <w:num w:numId="38" w16cid:durableId="342628450">
    <w:abstractNumId w:val="12"/>
  </w:num>
  <w:num w:numId="39" w16cid:durableId="20787071">
    <w:abstractNumId w:val="12"/>
  </w:num>
  <w:num w:numId="40" w16cid:durableId="1215889982">
    <w:abstractNumId w:val="12"/>
  </w:num>
  <w:num w:numId="41" w16cid:durableId="1018315566">
    <w:abstractNumId w:val="12"/>
  </w:num>
  <w:num w:numId="42" w16cid:durableId="118691580">
    <w:abstractNumId w:val="12"/>
  </w:num>
  <w:num w:numId="43" w16cid:durableId="1772122489">
    <w:abstractNumId w:val="29"/>
  </w:num>
  <w:num w:numId="44" w16cid:durableId="21005921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pZ0aP9XScAoAMcQUg3ALozN3K+cfb3ocL5LkNh0XX6emf9SLyW9PB4GfLCKbzpcD3dfltbER/tFvmI4KnLJbWg==" w:salt="iy1xKvGwMOWSrd1xIczZ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89"/>
    <w:rsid w:val="0000308C"/>
    <w:rsid w:val="00013134"/>
    <w:rsid w:val="00017D1D"/>
    <w:rsid w:val="00021D82"/>
    <w:rsid w:val="00030AD5"/>
    <w:rsid w:val="000514E3"/>
    <w:rsid w:val="00054EB5"/>
    <w:rsid w:val="000670EB"/>
    <w:rsid w:val="000803B7"/>
    <w:rsid w:val="00086978"/>
    <w:rsid w:val="000B4823"/>
    <w:rsid w:val="000C38F5"/>
    <w:rsid w:val="000D6475"/>
    <w:rsid w:val="000E147B"/>
    <w:rsid w:val="00107753"/>
    <w:rsid w:val="00123D77"/>
    <w:rsid w:val="00125970"/>
    <w:rsid w:val="00141F93"/>
    <w:rsid w:val="00147401"/>
    <w:rsid w:val="001653A8"/>
    <w:rsid w:val="001703C1"/>
    <w:rsid w:val="0018065D"/>
    <w:rsid w:val="0018362C"/>
    <w:rsid w:val="00193AE7"/>
    <w:rsid w:val="001A373A"/>
    <w:rsid w:val="001C4295"/>
    <w:rsid w:val="001E0A76"/>
    <w:rsid w:val="001E530B"/>
    <w:rsid w:val="001E634C"/>
    <w:rsid w:val="001E6418"/>
    <w:rsid w:val="001F2415"/>
    <w:rsid w:val="001F3FB4"/>
    <w:rsid w:val="001F62F9"/>
    <w:rsid w:val="00201414"/>
    <w:rsid w:val="0021612B"/>
    <w:rsid w:val="0021623A"/>
    <w:rsid w:val="0022408D"/>
    <w:rsid w:val="0024054A"/>
    <w:rsid w:val="00241E8D"/>
    <w:rsid w:val="00253687"/>
    <w:rsid w:val="002736A2"/>
    <w:rsid w:val="00274CC2"/>
    <w:rsid w:val="00277674"/>
    <w:rsid w:val="00281887"/>
    <w:rsid w:val="00291C92"/>
    <w:rsid w:val="00292459"/>
    <w:rsid w:val="002B6A81"/>
    <w:rsid w:val="002C6BED"/>
    <w:rsid w:val="002C7B00"/>
    <w:rsid w:val="002D1B0A"/>
    <w:rsid w:val="002D295F"/>
    <w:rsid w:val="002D4266"/>
    <w:rsid w:val="002F39EA"/>
    <w:rsid w:val="00306E06"/>
    <w:rsid w:val="0031185D"/>
    <w:rsid w:val="003211FF"/>
    <w:rsid w:val="00332068"/>
    <w:rsid w:val="00342164"/>
    <w:rsid w:val="00347A0D"/>
    <w:rsid w:val="00353491"/>
    <w:rsid w:val="00357DD0"/>
    <w:rsid w:val="0036280D"/>
    <w:rsid w:val="0036600C"/>
    <w:rsid w:val="003866B3"/>
    <w:rsid w:val="00386D08"/>
    <w:rsid w:val="003919E0"/>
    <w:rsid w:val="00393A08"/>
    <w:rsid w:val="003B0EB1"/>
    <w:rsid w:val="003B645E"/>
    <w:rsid w:val="003B66C4"/>
    <w:rsid w:val="003C1E75"/>
    <w:rsid w:val="003E0EA2"/>
    <w:rsid w:val="003F08E9"/>
    <w:rsid w:val="003F5F6F"/>
    <w:rsid w:val="00404349"/>
    <w:rsid w:val="00423BB3"/>
    <w:rsid w:val="00431EC6"/>
    <w:rsid w:val="00461491"/>
    <w:rsid w:val="004770FA"/>
    <w:rsid w:val="0048129F"/>
    <w:rsid w:val="004817F4"/>
    <w:rsid w:val="004A666D"/>
    <w:rsid w:val="004A669D"/>
    <w:rsid w:val="004B41D1"/>
    <w:rsid w:val="004D7A05"/>
    <w:rsid w:val="004E3C8E"/>
    <w:rsid w:val="004E6D01"/>
    <w:rsid w:val="004E7E42"/>
    <w:rsid w:val="004F0E59"/>
    <w:rsid w:val="004F159C"/>
    <w:rsid w:val="004F2ACB"/>
    <w:rsid w:val="004F64CF"/>
    <w:rsid w:val="0050085F"/>
    <w:rsid w:val="00501AAB"/>
    <w:rsid w:val="005020FA"/>
    <w:rsid w:val="00504C0D"/>
    <w:rsid w:val="00506442"/>
    <w:rsid w:val="005133D0"/>
    <w:rsid w:val="00515C3C"/>
    <w:rsid w:val="00522C92"/>
    <w:rsid w:val="00534533"/>
    <w:rsid w:val="0055413F"/>
    <w:rsid w:val="00564089"/>
    <w:rsid w:val="005A506F"/>
    <w:rsid w:val="005A556A"/>
    <w:rsid w:val="005B3AE2"/>
    <w:rsid w:val="005E096C"/>
    <w:rsid w:val="005E5B5F"/>
    <w:rsid w:val="00603DE8"/>
    <w:rsid w:val="00615090"/>
    <w:rsid w:val="0061511D"/>
    <w:rsid w:val="00615BB6"/>
    <w:rsid w:val="00621F81"/>
    <w:rsid w:val="0062263A"/>
    <w:rsid w:val="00624ABC"/>
    <w:rsid w:val="00624F8B"/>
    <w:rsid w:val="00626C13"/>
    <w:rsid w:val="00630289"/>
    <w:rsid w:val="00630339"/>
    <w:rsid w:val="00652C10"/>
    <w:rsid w:val="00656B29"/>
    <w:rsid w:val="00667D9C"/>
    <w:rsid w:val="006758B3"/>
    <w:rsid w:val="00675C96"/>
    <w:rsid w:val="00676313"/>
    <w:rsid w:val="006811D7"/>
    <w:rsid w:val="0068218E"/>
    <w:rsid w:val="006966B9"/>
    <w:rsid w:val="006A24EC"/>
    <w:rsid w:val="006A4348"/>
    <w:rsid w:val="006A6DB3"/>
    <w:rsid w:val="006C2DFC"/>
    <w:rsid w:val="006E2B86"/>
    <w:rsid w:val="006E41C3"/>
    <w:rsid w:val="006E6193"/>
    <w:rsid w:val="00710CF6"/>
    <w:rsid w:val="0071492B"/>
    <w:rsid w:val="0071604F"/>
    <w:rsid w:val="007161C1"/>
    <w:rsid w:val="007174AB"/>
    <w:rsid w:val="007449CC"/>
    <w:rsid w:val="00745776"/>
    <w:rsid w:val="007475CC"/>
    <w:rsid w:val="0075476C"/>
    <w:rsid w:val="0077147B"/>
    <w:rsid w:val="0077672B"/>
    <w:rsid w:val="00797A09"/>
    <w:rsid w:val="007A2AD8"/>
    <w:rsid w:val="007A3963"/>
    <w:rsid w:val="007B3224"/>
    <w:rsid w:val="007C26B9"/>
    <w:rsid w:val="007E5EF6"/>
    <w:rsid w:val="007F2239"/>
    <w:rsid w:val="007F4935"/>
    <w:rsid w:val="00806C38"/>
    <w:rsid w:val="00820B84"/>
    <w:rsid w:val="0083702C"/>
    <w:rsid w:val="00840A92"/>
    <w:rsid w:val="00843519"/>
    <w:rsid w:val="00863463"/>
    <w:rsid w:val="008647B3"/>
    <w:rsid w:val="008648EC"/>
    <w:rsid w:val="00866F92"/>
    <w:rsid w:val="0087104A"/>
    <w:rsid w:val="00876B6B"/>
    <w:rsid w:val="008832E3"/>
    <w:rsid w:val="00891315"/>
    <w:rsid w:val="00891924"/>
    <w:rsid w:val="00894072"/>
    <w:rsid w:val="0089678E"/>
    <w:rsid w:val="008A539C"/>
    <w:rsid w:val="008B3866"/>
    <w:rsid w:val="008B3C57"/>
    <w:rsid w:val="008C2F24"/>
    <w:rsid w:val="008F499E"/>
    <w:rsid w:val="008F786C"/>
    <w:rsid w:val="00911685"/>
    <w:rsid w:val="0091407B"/>
    <w:rsid w:val="00921AE9"/>
    <w:rsid w:val="00924AE7"/>
    <w:rsid w:val="009315A0"/>
    <w:rsid w:val="00936605"/>
    <w:rsid w:val="009467C4"/>
    <w:rsid w:val="00953591"/>
    <w:rsid w:val="00956BC8"/>
    <w:rsid w:val="00964722"/>
    <w:rsid w:val="00977B90"/>
    <w:rsid w:val="00987089"/>
    <w:rsid w:val="009935F5"/>
    <w:rsid w:val="009C4FC9"/>
    <w:rsid w:val="009E0205"/>
    <w:rsid w:val="009E4E6E"/>
    <w:rsid w:val="00A0065E"/>
    <w:rsid w:val="00A038C0"/>
    <w:rsid w:val="00A071E2"/>
    <w:rsid w:val="00A15713"/>
    <w:rsid w:val="00A16F46"/>
    <w:rsid w:val="00A17DF4"/>
    <w:rsid w:val="00A2455A"/>
    <w:rsid w:val="00A41B13"/>
    <w:rsid w:val="00A506BC"/>
    <w:rsid w:val="00A515CB"/>
    <w:rsid w:val="00A57930"/>
    <w:rsid w:val="00A60B7C"/>
    <w:rsid w:val="00A64290"/>
    <w:rsid w:val="00A738D1"/>
    <w:rsid w:val="00A828E9"/>
    <w:rsid w:val="00AB0368"/>
    <w:rsid w:val="00AB4137"/>
    <w:rsid w:val="00AC0D51"/>
    <w:rsid w:val="00AC5EAC"/>
    <w:rsid w:val="00AD75FF"/>
    <w:rsid w:val="00AD7977"/>
    <w:rsid w:val="00AF3CCE"/>
    <w:rsid w:val="00B025B2"/>
    <w:rsid w:val="00B17434"/>
    <w:rsid w:val="00B363A5"/>
    <w:rsid w:val="00B45D04"/>
    <w:rsid w:val="00B5168A"/>
    <w:rsid w:val="00B76D46"/>
    <w:rsid w:val="00B86E25"/>
    <w:rsid w:val="00BA2ADC"/>
    <w:rsid w:val="00BA2F1B"/>
    <w:rsid w:val="00BA5D79"/>
    <w:rsid w:val="00BB1460"/>
    <w:rsid w:val="00BB1BC7"/>
    <w:rsid w:val="00BB653E"/>
    <w:rsid w:val="00BC1233"/>
    <w:rsid w:val="00BE2D33"/>
    <w:rsid w:val="00C12382"/>
    <w:rsid w:val="00C303F5"/>
    <w:rsid w:val="00C305CC"/>
    <w:rsid w:val="00C334F8"/>
    <w:rsid w:val="00C35784"/>
    <w:rsid w:val="00C40687"/>
    <w:rsid w:val="00C43240"/>
    <w:rsid w:val="00C43C73"/>
    <w:rsid w:val="00C556F2"/>
    <w:rsid w:val="00C72699"/>
    <w:rsid w:val="00C930F4"/>
    <w:rsid w:val="00CA3FE4"/>
    <w:rsid w:val="00CA6384"/>
    <w:rsid w:val="00CB0F5F"/>
    <w:rsid w:val="00CB23AD"/>
    <w:rsid w:val="00CB48F1"/>
    <w:rsid w:val="00CB6621"/>
    <w:rsid w:val="00CB76D3"/>
    <w:rsid w:val="00CD2C1E"/>
    <w:rsid w:val="00CD6344"/>
    <w:rsid w:val="00CD6560"/>
    <w:rsid w:val="00CE7F63"/>
    <w:rsid w:val="00CF0D04"/>
    <w:rsid w:val="00CF2D0D"/>
    <w:rsid w:val="00CF3D9C"/>
    <w:rsid w:val="00D14F92"/>
    <w:rsid w:val="00D2145D"/>
    <w:rsid w:val="00D23D5B"/>
    <w:rsid w:val="00D27A3B"/>
    <w:rsid w:val="00D32396"/>
    <w:rsid w:val="00D43456"/>
    <w:rsid w:val="00D76A46"/>
    <w:rsid w:val="00DA4A98"/>
    <w:rsid w:val="00DB153F"/>
    <w:rsid w:val="00DC5EC3"/>
    <w:rsid w:val="00DD11C4"/>
    <w:rsid w:val="00DD11CD"/>
    <w:rsid w:val="00DD3B0C"/>
    <w:rsid w:val="00DD715D"/>
    <w:rsid w:val="00DE1C64"/>
    <w:rsid w:val="00DE6BEE"/>
    <w:rsid w:val="00DF148C"/>
    <w:rsid w:val="00DF5B2C"/>
    <w:rsid w:val="00E00319"/>
    <w:rsid w:val="00E052DE"/>
    <w:rsid w:val="00E12B91"/>
    <w:rsid w:val="00E17EF0"/>
    <w:rsid w:val="00E239F5"/>
    <w:rsid w:val="00E23B58"/>
    <w:rsid w:val="00E5506A"/>
    <w:rsid w:val="00E5605F"/>
    <w:rsid w:val="00E62FA4"/>
    <w:rsid w:val="00E65F21"/>
    <w:rsid w:val="00E80DAD"/>
    <w:rsid w:val="00E8202B"/>
    <w:rsid w:val="00E82641"/>
    <w:rsid w:val="00E843E9"/>
    <w:rsid w:val="00EB61C4"/>
    <w:rsid w:val="00EB65ED"/>
    <w:rsid w:val="00EC0D7C"/>
    <w:rsid w:val="00ED0BB0"/>
    <w:rsid w:val="00EE525A"/>
    <w:rsid w:val="00EF1F1C"/>
    <w:rsid w:val="00F07A21"/>
    <w:rsid w:val="00F37899"/>
    <w:rsid w:val="00F83DF5"/>
    <w:rsid w:val="00FA35A7"/>
    <w:rsid w:val="00FB54CB"/>
    <w:rsid w:val="00FB7B96"/>
    <w:rsid w:val="00FC55E9"/>
    <w:rsid w:val="00FD6F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6A1F"/>
  <w15:docId w15:val="{AC6661F4-3EA6-42ED-8283-7BBDAF28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E5506A"/>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E5506A"/>
    <w:pPr>
      <w:spacing w:after="100"/>
    </w:pPr>
  </w:style>
  <w:style w:type="paragraph" w:styleId="TOC2">
    <w:name w:val="toc 2"/>
    <w:basedOn w:val="Normal"/>
    <w:next w:val="Normal"/>
    <w:autoRedefine/>
    <w:uiPriority w:val="39"/>
    <w:unhideWhenUsed/>
    <w:rsid w:val="00E5506A"/>
    <w:pPr>
      <w:spacing w:after="100"/>
      <w:ind w:left="240"/>
    </w:pPr>
  </w:style>
  <w:style w:type="paragraph" w:styleId="TOC3">
    <w:name w:val="toc 3"/>
    <w:basedOn w:val="Normal"/>
    <w:next w:val="Normal"/>
    <w:autoRedefine/>
    <w:uiPriority w:val="39"/>
    <w:unhideWhenUsed/>
    <w:rsid w:val="00E5506A"/>
    <w:pPr>
      <w:spacing w:after="100"/>
      <w:ind w:left="480"/>
    </w:pPr>
  </w:style>
  <w:style w:type="paragraph" w:styleId="Revision">
    <w:name w:val="Revision"/>
    <w:hidden/>
    <w:uiPriority w:val="99"/>
    <w:semiHidden/>
    <w:rsid w:val="000B4823"/>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ondonmet.ac.uk/media/london-metropolitan-university/london-met-documents/professional-service-departments/policies/Organisational-Arrangements-v-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8B575AC27D76F49A0D200A11BA0D8D3" ma:contentTypeVersion="14" ma:contentTypeDescription="Create a new document." ma:contentTypeScope="" ma:versionID="5ecc102c200b765e840b92dc77c421a1">
  <xsd:schema xmlns:xsd="http://www.w3.org/2001/XMLSchema" xmlns:xs="http://www.w3.org/2001/XMLSchema" xmlns:p="http://schemas.microsoft.com/office/2006/metadata/properties" xmlns:ns3="342bf73d-2e1c-4125-9d55-eb2c71a274b8" xmlns:ns4="ac03c521-b5aa-419e-b5e6-558b93f70c56" targetNamespace="http://schemas.microsoft.com/office/2006/metadata/properties" ma:root="true" ma:fieldsID="1e51ecf6d82446e45aa6dc46f9bddabd" ns3:_="" ns4:_="">
    <xsd:import namespace="342bf73d-2e1c-4125-9d55-eb2c71a274b8"/>
    <xsd:import namespace="ac03c521-b5aa-419e-b5e6-558b93f70c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f73d-2e1c-4125-9d55-eb2c71a274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3c521-b5aa-419e-b5e6-558b93f70c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7A77F-D578-4526-9F61-07A1D138E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0A3197E-86DF-4D16-A785-C37B8610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f73d-2e1c-4125-9d55-eb2c71a274b8"/>
    <ds:schemaRef ds:uri="ac03c521-b5aa-419e-b5e6-558b93f70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C79A62-B823-47EA-8789-FFD87AE81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sheet.dotx</Template>
  <TotalTime>0</TotalTime>
  <Pages>3</Pages>
  <Words>641</Words>
  <Characters>3660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2</cp:revision>
  <dcterms:created xsi:type="dcterms:W3CDTF">2023-08-09T13:15:00Z</dcterms:created>
  <dcterms:modified xsi:type="dcterms:W3CDTF">2023-08-09T13:15:00Z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0x01010048B575AC27D76F49A0D200A11BA0D8D3</vt:lpwstr>
  </property>
</Properties>
</file>